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FE53FA" w14:paraId="6ADCA593" w14:textId="77777777">
        <w:tblPrEx>
          <w:tblCellMar>
            <w:top w:w="0" w:type="dxa"/>
            <w:bottom w:w="0" w:type="dxa"/>
          </w:tblCellMar>
        </w:tblPrEx>
        <w:trPr>
          <w:tblCellSpacing w:w="60" w:type="dxa"/>
        </w:trPr>
        <w:tc>
          <w:tcPr>
            <w:tcW w:w="1200" w:type="pct"/>
            <w:shd w:val="clear" w:color="auto" w:fill="E7F0F9"/>
          </w:tcPr>
          <w:p w14:paraId="1F617ADD" w14:textId="77777777" w:rsidR="00FE53FA" w:rsidRDefault="00976ABD">
            <w:pPr>
              <w:spacing w:after="0" w:line="240" w:lineRule="auto"/>
            </w:pPr>
            <w:r>
              <w:rPr>
                <w:b/>
              </w:rPr>
              <w:t>RKP broj</w:t>
            </w:r>
          </w:p>
        </w:tc>
        <w:tc>
          <w:tcPr>
            <w:tcW w:w="0" w:type="auto"/>
            <w:shd w:val="clear" w:color="auto" w:fill="E7F0F9"/>
          </w:tcPr>
          <w:p w14:paraId="79B333F1" w14:textId="77777777" w:rsidR="00FE53FA" w:rsidRDefault="00976ABD">
            <w:pPr>
              <w:spacing w:after="0" w:line="240" w:lineRule="auto"/>
            </w:pPr>
            <w:r>
              <w:t>17691</w:t>
            </w:r>
          </w:p>
        </w:tc>
      </w:tr>
      <w:tr w:rsidR="00FE53FA" w14:paraId="251D6141" w14:textId="77777777">
        <w:tblPrEx>
          <w:tblCellMar>
            <w:top w:w="0" w:type="dxa"/>
            <w:bottom w:w="0" w:type="dxa"/>
          </w:tblCellMar>
        </w:tblPrEx>
        <w:trPr>
          <w:tblCellSpacing w:w="60" w:type="dxa"/>
        </w:trPr>
        <w:tc>
          <w:tcPr>
            <w:tcW w:w="1200" w:type="pct"/>
            <w:shd w:val="clear" w:color="auto" w:fill="E7F0F9"/>
          </w:tcPr>
          <w:p w14:paraId="2DC8F084" w14:textId="77777777" w:rsidR="00FE53FA" w:rsidRDefault="00976ABD">
            <w:pPr>
              <w:spacing w:after="0" w:line="240" w:lineRule="auto"/>
            </w:pPr>
            <w:r>
              <w:rPr>
                <w:b/>
              </w:rPr>
              <w:t>Naziv obveznika</w:t>
            </w:r>
          </w:p>
        </w:tc>
        <w:tc>
          <w:tcPr>
            <w:tcW w:w="0" w:type="auto"/>
            <w:shd w:val="clear" w:color="auto" w:fill="E7F0F9"/>
          </w:tcPr>
          <w:p w14:paraId="10BFB207" w14:textId="77777777" w:rsidR="00FE53FA" w:rsidRDefault="00976ABD">
            <w:pPr>
              <w:spacing w:after="0" w:line="240" w:lineRule="auto"/>
            </w:pPr>
            <w:r>
              <w:t xml:space="preserve">UGOSTITELJSKO-TURISTIČKA ŠKOLA </w:t>
            </w:r>
          </w:p>
        </w:tc>
      </w:tr>
      <w:tr w:rsidR="00FE53FA" w14:paraId="26D28DFA" w14:textId="77777777">
        <w:tblPrEx>
          <w:tblCellMar>
            <w:top w:w="0" w:type="dxa"/>
            <w:bottom w:w="0" w:type="dxa"/>
          </w:tblCellMar>
        </w:tblPrEx>
        <w:trPr>
          <w:tblCellSpacing w:w="60" w:type="dxa"/>
        </w:trPr>
        <w:tc>
          <w:tcPr>
            <w:tcW w:w="1200" w:type="pct"/>
            <w:shd w:val="clear" w:color="auto" w:fill="E7F0F9"/>
          </w:tcPr>
          <w:p w14:paraId="7328C29E" w14:textId="77777777" w:rsidR="00FE53FA" w:rsidRDefault="00976ABD">
            <w:pPr>
              <w:spacing w:after="0" w:line="240" w:lineRule="auto"/>
            </w:pPr>
            <w:r>
              <w:rPr>
                <w:b/>
              </w:rPr>
              <w:t>Razina</w:t>
            </w:r>
          </w:p>
        </w:tc>
        <w:tc>
          <w:tcPr>
            <w:tcW w:w="0" w:type="auto"/>
            <w:shd w:val="clear" w:color="auto" w:fill="E7F0F9"/>
          </w:tcPr>
          <w:p w14:paraId="7DBF1697" w14:textId="77777777" w:rsidR="00FE53FA" w:rsidRDefault="00976ABD">
            <w:pPr>
              <w:spacing w:after="0" w:line="240" w:lineRule="auto"/>
            </w:pPr>
            <w:r>
              <w:t>31</w:t>
            </w:r>
          </w:p>
        </w:tc>
      </w:tr>
    </w:tbl>
    <w:p w14:paraId="769D71AE" w14:textId="77777777" w:rsidR="00FE53FA" w:rsidRDefault="00976ABD">
      <w:r>
        <w:br/>
      </w:r>
    </w:p>
    <w:p w14:paraId="111F1374" w14:textId="77777777" w:rsidR="00FE53FA" w:rsidRDefault="00976ABD">
      <w:pPr>
        <w:spacing w:line="240" w:lineRule="auto"/>
        <w:jc w:val="center"/>
      </w:pPr>
      <w:r>
        <w:rPr>
          <w:b/>
          <w:sz w:val="28"/>
        </w:rPr>
        <w:t>BILJEŠKE UZ FINANCIJSKE IZVJEŠTAJE</w:t>
      </w:r>
    </w:p>
    <w:p w14:paraId="703A0AB3" w14:textId="77777777" w:rsidR="00FE53FA" w:rsidRDefault="00976ABD">
      <w:pPr>
        <w:spacing w:line="240" w:lineRule="auto"/>
        <w:jc w:val="center"/>
      </w:pPr>
      <w:r>
        <w:rPr>
          <w:b/>
          <w:sz w:val="28"/>
        </w:rPr>
        <w:t>ZA RAZDOBLJE</w:t>
      </w:r>
    </w:p>
    <w:p w14:paraId="7DB972C1" w14:textId="77777777" w:rsidR="00FE53FA" w:rsidRDefault="00976ABD">
      <w:pPr>
        <w:spacing w:line="240" w:lineRule="auto"/>
        <w:jc w:val="center"/>
      </w:pPr>
      <w:r>
        <w:rPr>
          <w:b/>
          <w:sz w:val="28"/>
        </w:rPr>
        <w:t>I - VI 2025.</w:t>
      </w:r>
    </w:p>
    <w:p w14:paraId="4E744E86" w14:textId="77777777" w:rsidR="00FE53FA" w:rsidRDefault="00FE53FA"/>
    <w:p w14:paraId="5EF5409F" w14:textId="77777777" w:rsidR="00FE53FA" w:rsidRDefault="00976ABD">
      <w:pPr>
        <w:keepNext/>
        <w:spacing w:line="240" w:lineRule="auto"/>
        <w:jc w:val="center"/>
      </w:pPr>
      <w:r>
        <w:rPr>
          <w:b/>
          <w:sz w:val="28"/>
        </w:rPr>
        <w:t>Izvještaj o prihodima i rashodima, primicima i izdacima</w:t>
      </w:r>
    </w:p>
    <w:p w14:paraId="01BCFAB8" w14:textId="77777777" w:rsidR="00FE53FA" w:rsidRDefault="00976ABD">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055BACD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9EB07FC"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89E2FA8"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971A18"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D0F14D"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C5BDA4"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08E591" w14:textId="77777777" w:rsidR="00FE53FA" w:rsidRDefault="00976ABD">
            <w:pPr>
              <w:keepNext/>
              <w:keepLines/>
              <w:spacing w:after="0" w:line="240" w:lineRule="auto"/>
              <w:jc w:val="center"/>
            </w:pPr>
            <w:r>
              <w:rPr>
                <w:b/>
                <w:sz w:val="18"/>
              </w:rPr>
              <w:t>Indeks (%)</w:t>
            </w:r>
          </w:p>
        </w:tc>
      </w:tr>
      <w:tr w:rsidR="00FE53FA" w14:paraId="0B45E189" w14:textId="77777777">
        <w:tblPrEx>
          <w:tblCellMar>
            <w:top w:w="0" w:type="dxa"/>
            <w:bottom w:w="0" w:type="dxa"/>
          </w:tblCellMar>
        </w:tblPrEx>
        <w:trPr>
          <w:cantSplit/>
          <w:trHeight w:val="560"/>
        </w:trPr>
        <w:tc>
          <w:tcPr>
            <w:tcW w:w="700" w:type="dxa"/>
            <w:tcMar>
              <w:top w:w="0" w:type="dxa"/>
              <w:bottom w:w="0" w:type="dxa"/>
            </w:tcMar>
            <w:vAlign w:val="center"/>
          </w:tcPr>
          <w:p w14:paraId="2903752D" w14:textId="77777777" w:rsidR="00FE53FA" w:rsidRDefault="00976ABD">
            <w:pPr>
              <w:keepNext/>
              <w:keepLines/>
              <w:spacing w:after="0" w:line="240" w:lineRule="auto"/>
            </w:pPr>
            <w:r>
              <w:rPr>
                <w:sz w:val="18"/>
              </w:rPr>
              <w:t>6</w:t>
            </w:r>
          </w:p>
        </w:tc>
        <w:tc>
          <w:tcPr>
            <w:tcW w:w="3180" w:type="dxa"/>
            <w:tcMar>
              <w:top w:w="0" w:type="dxa"/>
              <w:bottom w:w="0" w:type="dxa"/>
            </w:tcMar>
            <w:vAlign w:val="center"/>
          </w:tcPr>
          <w:p w14:paraId="04B2FF7D" w14:textId="77777777" w:rsidR="00FE53FA" w:rsidRDefault="00976ABD">
            <w:pPr>
              <w:keepNext/>
              <w:keepLines/>
              <w:spacing w:after="0" w:line="240" w:lineRule="auto"/>
            </w:pPr>
            <w:r>
              <w:rPr>
                <w:sz w:val="18"/>
              </w:rPr>
              <w:t>PRIHODI POSLOVANJA (šifre 61+62+63+64+65+66+67+68)</w:t>
            </w:r>
          </w:p>
        </w:tc>
        <w:tc>
          <w:tcPr>
            <w:tcW w:w="700" w:type="dxa"/>
            <w:tcMar>
              <w:top w:w="0" w:type="dxa"/>
              <w:bottom w:w="0" w:type="dxa"/>
            </w:tcMar>
            <w:vAlign w:val="center"/>
          </w:tcPr>
          <w:p w14:paraId="62002477" w14:textId="77777777" w:rsidR="00FE53FA" w:rsidRDefault="00976ABD">
            <w:pPr>
              <w:keepNext/>
              <w:keepLines/>
              <w:spacing w:after="0" w:line="240" w:lineRule="auto"/>
            </w:pPr>
            <w:r>
              <w:rPr>
                <w:sz w:val="18"/>
              </w:rPr>
              <w:t>6</w:t>
            </w:r>
          </w:p>
        </w:tc>
        <w:tc>
          <w:tcPr>
            <w:tcW w:w="1860" w:type="dxa"/>
            <w:tcMar>
              <w:top w:w="0" w:type="dxa"/>
              <w:bottom w:w="0" w:type="dxa"/>
            </w:tcMar>
            <w:vAlign w:val="center"/>
          </w:tcPr>
          <w:p w14:paraId="3A83E311" w14:textId="77777777" w:rsidR="00FE53FA" w:rsidRDefault="00976ABD">
            <w:pPr>
              <w:keepNext/>
              <w:keepLines/>
              <w:spacing w:after="0" w:line="240" w:lineRule="auto"/>
              <w:jc w:val="right"/>
            </w:pPr>
            <w:r>
              <w:rPr>
                <w:sz w:val="18"/>
              </w:rPr>
              <w:t>4.671.642,33</w:t>
            </w:r>
          </w:p>
        </w:tc>
        <w:tc>
          <w:tcPr>
            <w:tcW w:w="1860" w:type="dxa"/>
            <w:tcMar>
              <w:top w:w="0" w:type="dxa"/>
              <w:bottom w:w="0" w:type="dxa"/>
            </w:tcMar>
            <w:vAlign w:val="center"/>
          </w:tcPr>
          <w:p w14:paraId="70AAC3FC" w14:textId="77777777" w:rsidR="00FE53FA" w:rsidRDefault="00976ABD">
            <w:pPr>
              <w:keepNext/>
              <w:keepLines/>
              <w:spacing w:after="0" w:line="240" w:lineRule="auto"/>
              <w:jc w:val="right"/>
            </w:pPr>
            <w:r>
              <w:rPr>
                <w:sz w:val="18"/>
              </w:rPr>
              <w:t>1.513.182,66</w:t>
            </w:r>
          </w:p>
        </w:tc>
        <w:tc>
          <w:tcPr>
            <w:tcW w:w="700" w:type="dxa"/>
            <w:tcMar>
              <w:top w:w="0" w:type="dxa"/>
              <w:bottom w:w="0" w:type="dxa"/>
            </w:tcMar>
            <w:vAlign w:val="center"/>
          </w:tcPr>
          <w:p w14:paraId="622D9F51" w14:textId="77777777" w:rsidR="00FE53FA" w:rsidRDefault="00976ABD">
            <w:pPr>
              <w:keepNext/>
              <w:keepLines/>
              <w:spacing w:after="0" w:line="240" w:lineRule="auto"/>
              <w:jc w:val="right"/>
            </w:pPr>
            <w:r>
              <w:rPr>
                <w:sz w:val="18"/>
              </w:rPr>
              <w:t>32,4</w:t>
            </w:r>
          </w:p>
        </w:tc>
      </w:tr>
      <w:tr w:rsidR="00FE53FA" w14:paraId="7077229A" w14:textId="77777777">
        <w:tblPrEx>
          <w:tblCellMar>
            <w:top w:w="0" w:type="dxa"/>
            <w:bottom w:w="0" w:type="dxa"/>
          </w:tblCellMar>
        </w:tblPrEx>
        <w:trPr>
          <w:cantSplit/>
          <w:trHeight w:val="560"/>
        </w:trPr>
        <w:tc>
          <w:tcPr>
            <w:tcW w:w="700" w:type="dxa"/>
            <w:tcMar>
              <w:top w:w="0" w:type="dxa"/>
              <w:bottom w:w="0" w:type="dxa"/>
            </w:tcMar>
            <w:vAlign w:val="center"/>
          </w:tcPr>
          <w:p w14:paraId="12EA08F5" w14:textId="77777777" w:rsidR="00FE53FA" w:rsidRDefault="00976ABD">
            <w:pPr>
              <w:keepNext/>
              <w:keepLines/>
              <w:spacing w:after="0" w:line="240" w:lineRule="auto"/>
            </w:pPr>
            <w:r>
              <w:rPr>
                <w:sz w:val="18"/>
              </w:rPr>
              <w:t>3</w:t>
            </w:r>
          </w:p>
        </w:tc>
        <w:tc>
          <w:tcPr>
            <w:tcW w:w="3180" w:type="dxa"/>
            <w:tcMar>
              <w:top w:w="0" w:type="dxa"/>
              <w:bottom w:w="0" w:type="dxa"/>
            </w:tcMar>
            <w:vAlign w:val="center"/>
          </w:tcPr>
          <w:p w14:paraId="37665DB8" w14:textId="77777777" w:rsidR="00FE53FA" w:rsidRDefault="00976ABD">
            <w:pPr>
              <w:keepNext/>
              <w:keepLines/>
              <w:spacing w:after="0" w:line="240" w:lineRule="auto"/>
            </w:pPr>
            <w:r>
              <w:rPr>
                <w:sz w:val="18"/>
              </w:rPr>
              <w:t xml:space="preserve">RASHODI POSLOVANJA (šifre </w:t>
            </w:r>
            <w:r>
              <w:rPr>
                <w:sz w:val="18"/>
              </w:rPr>
              <w:t>31+32+34+35+36+37+38)</w:t>
            </w:r>
          </w:p>
        </w:tc>
        <w:tc>
          <w:tcPr>
            <w:tcW w:w="700" w:type="dxa"/>
            <w:tcMar>
              <w:top w:w="0" w:type="dxa"/>
              <w:bottom w:w="0" w:type="dxa"/>
            </w:tcMar>
            <w:vAlign w:val="center"/>
          </w:tcPr>
          <w:p w14:paraId="6D2636F4" w14:textId="77777777" w:rsidR="00FE53FA" w:rsidRDefault="00976ABD">
            <w:pPr>
              <w:keepNext/>
              <w:keepLines/>
              <w:spacing w:after="0" w:line="240" w:lineRule="auto"/>
            </w:pPr>
            <w:r>
              <w:rPr>
                <w:sz w:val="18"/>
              </w:rPr>
              <w:t>3</w:t>
            </w:r>
          </w:p>
        </w:tc>
        <w:tc>
          <w:tcPr>
            <w:tcW w:w="1860" w:type="dxa"/>
            <w:tcMar>
              <w:top w:w="0" w:type="dxa"/>
              <w:bottom w:w="0" w:type="dxa"/>
            </w:tcMar>
            <w:vAlign w:val="center"/>
          </w:tcPr>
          <w:p w14:paraId="6E172A0C" w14:textId="77777777" w:rsidR="00FE53FA" w:rsidRDefault="00976ABD">
            <w:pPr>
              <w:keepNext/>
              <w:keepLines/>
              <w:spacing w:after="0" w:line="240" w:lineRule="auto"/>
              <w:jc w:val="right"/>
            </w:pPr>
            <w:r>
              <w:rPr>
                <w:sz w:val="18"/>
              </w:rPr>
              <w:t>1.565.751,63</w:t>
            </w:r>
          </w:p>
        </w:tc>
        <w:tc>
          <w:tcPr>
            <w:tcW w:w="1860" w:type="dxa"/>
            <w:tcMar>
              <w:top w:w="0" w:type="dxa"/>
              <w:bottom w:w="0" w:type="dxa"/>
            </w:tcMar>
            <w:vAlign w:val="center"/>
          </w:tcPr>
          <w:p w14:paraId="09B4EE7F" w14:textId="77777777" w:rsidR="00FE53FA" w:rsidRDefault="00976ABD">
            <w:pPr>
              <w:keepNext/>
              <w:keepLines/>
              <w:spacing w:after="0" w:line="240" w:lineRule="auto"/>
              <w:jc w:val="right"/>
            </w:pPr>
            <w:r>
              <w:rPr>
                <w:sz w:val="18"/>
              </w:rPr>
              <w:t>1.718.877,96</w:t>
            </w:r>
          </w:p>
        </w:tc>
        <w:tc>
          <w:tcPr>
            <w:tcW w:w="700" w:type="dxa"/>
            <w:tcMar>
              <w:top w:w="0" w:type="dxa"/>
              <w:bottom w:w="0" w:type="dxa"/>
            </w:tcMar>
            <w:vAlign w:val="center"/>
          </w:tcPr>
          <w:p w14:paraId="7D2E3368" w14:textId="77777777" w:rsidR="00FE53FA" w:rsidRDefault="00976ABD">
            <w:pPr>
              <w:keepNext/>
              <w:keepLines/>
              <w:spacing w:after="0" w:line="240" w:lineRule="auto"/>
              <w:jc w:val="right"/>
            </w:pPr>
            <w:r>
              <w:rPr>
                <w:sz w:val="18"/>
              </w:rPr>
              <w:t>109,8</w:t>
            </w:r>
          </w:p>
        </w:tc>
      </w:tr>
      <w:tr w:rsidR="00FE53FA" w14:paraId="726775EE" w14:textId="77777777">
        <w:tblPrEx>
          <w:tblCellMar>
            <w:top w:w="0" w:type="dxa"/>
            <w:bottom w:w="0" w:type="dxa"/>
          </w:tblCellMar>
        </w:tblPrEx>
        <w:trPr>
          <w:cantSplit/>
          <w:trHeight w:val="560"/>
        </w:trPr>
        <w:tc>
          <w:tcPr>
            <w:tcW w:w="700" w:type="dxa"/>
            <w:tcMar>
              <w:top w:w="0" w:type="dxa"/>
              <w:bottom w:w="0" w:type="dxa"/>
            </w:tcMar>
            <w:vAlign w:val="center"/>
          </w:tcPr>
          <w:p w14:paraId="257757AC" w14:textId="77777777" w:rsidR="00FE53FA" w:rsidRDefault="00FE53FA">
            <w:pPr>
              <w:keepNext/>
              <w:keepLines/>
              <w:spacing w:after="0" w:line="240" w:lineRule="auto"/>
            </w:pPr>
          </w:p>
        </w:tc>
        <w:tc>
          <w:tcPr>
            <w:tcW w:w="3180" w:type="dxa"/>
            <w:tcMar>
              <w:top w:w="0" w:type="dxa"/>
              <w:bottom w:w="0" w:type="dxa"/>
            </w:tcMar>
            <w:vAlign w:val="center"/>
          </w:tcPr>
          <w:p w14:paraId="6E6B2059" w14:textId="77777777" w:rsidR="00FE53FA" w:rsidRDefault="00976ABD">
            <w:pPr>
              <w:keepNext/>
              <w:keepLines/>
              <w:spacing w:after="0" w:line="240" w:lineRule="auto"/>
            </w:pPr>
            <w:r>
              <w:rPr>
                <w:b/>
                <w:sz w:val="18"/>
              </w:rPr>
              <w:t>MANJAK PRIHODA POSLOVANJA (šifre Z005-6)</w:t>
            </w:r>
          </w:p>
        </w:tc>
        <w:tc>
          <w:tcPr>
            <w:tcW w:w="700" w:type="dxa"/>
            <w:tcMar>
              <w:top w:w="0" w:type="dxa"/>
              <w:bottom w:w="0" w:type="dxa"/>
            </w:tcMar>
            <w:vAlign w:val="center"/>
          </w:tcPr>
          <w:p w14:paraId="1EC4DF62" w14:textId="77777777" w:rsidR="00FE53FA" w:rsidRDefault="00976ABD">
            <w:pPr>
              <w:keepNext/>
              <w:keepLines/>
              <w:spacing w:after="0" w:line="240" w:lineRule="auto"/>
            </w:pPr>
            <w:r>
              <w:rPr>
                <w:b/>
                <w:sz w:val="18"/>
              </w:rPr>
              <w:t>Y001</w:t>
            </w:r>
          </w:p>
        </w:tc>
        <w:tc>
          <w:tcPr>
            <w:tcW w:w="1860" w:type="dxa"/>
            <w:tcMar>
              <w:top w:w="0" w:type="dxa"/>
              <w:bottom w:w="0" w:type="dxa"/>
            </w:tcMar>
            <w:vAlign w:val="center"/>
          </w:tcPr>
          <w:p w14:paraId="01BA7F8F" w14:textId="77777777" w:rsidR="00FE53FA" w:rsidRDefault="00976ABD">
            <w:pPr>
              <w:keepNext/>
              <w:keepLines/>
              <w:spacing w:after="0" w:line="240" w:lineRule="auto"/>
              <w:jc w:val="right"/>
            </w:pPr>
            <w:r>
              <w:rPr>
                <w:b/>
                <w:sz w:val="18"/>
              </w:rPr>
              <w:t>0,00</w:t>
            </w:r>
          </w:p>
        </w:tc>
        <w:tc>
          <w:tcPr>
            <w:tcW w:w="1860" w:type="dxa"/>
            <w:tcMar>
              <w:top w:w="0" w:type="dxa"/>
              <w:bottom w:w="0" w:type="dxa"/>
            </w:tcMar>
            <w:vAlign w:val="center"/>
          </w:tcPr>
          <w:p w14:paraId="6ABC32F7" w14:textId="77777777" w:rsidR="00FE53FA" w:rsidRDefault="00976ABD">
            <w:pPr>
              <w:keepNext/>
              <w:keepLines/>
              <w:spacing w:after="0" w:line="240" w:lineRule="auto"/>
              <w:jc w:val="right"/>
            </w:pPr>
            <w:r>
              <w:rPr>
                <w:b/>
                <w:sz w:val="18"/>
              </w:rPr>
              <w:t>205.695,30</w:t>
            </w:r>
          </w:p>
        </w:tc>
        <w:tc>
          <w:tcPr>
            <w:tcW w:w="700" w:type="dxa"/>
            <w:tcMar>
              <w:top w:w="0" w:type="dxa"/>
              <w:bottom w:w="0" w:type="dxa"/>
            </w:tcMar>
            <w:vAlign w:val="center"/>
          </w:tcPr>
          <w:p w14:paraId="50FC1967" w14:textId="77777777" w:rsidR="00FE53FA" w:rsidRDefault="00976ABD">
            <w:pPr>
              <w:keepNext/>
              <w:keepLines/>
              <w:spacing w:after="0" w:line="240" w:lineRule="auto"/>
              <w:jc w:val="right"/>
            </w:pPr>
            <w:r>
              <w:rPr>
                <w:b/>
                <w:sz w:val="18"/>
              </w:rPr>
              <w:t>-</w:t>
            </w:r>
          </w:p>
        </w:tc>
      </w:tr>
      <w:tr w:rsidR="00FE53FA" w14:paraId="0DA74056" w14:textId="77777777">
        <w:tblPrEx>
          <w:tblCellMar>
            <w:top w:w="0" w:type="dxa"/>
            <w:bottom w:w="0" w:type="dxa"/>
          </w:tblCellMar>
        </w:tblPrEx>
        <w:trPr>
          <w:cantSplit/>
          <w:trHeight w:val="560"/>
        </w:trPr>
        <w:tc>
          <w:tcPr>
            <w:tcW w:w="700" w:type="dxa"/>
            <w:tcMar>
              <w:top w:w="0" w:type="dxa"/>
              <w:bottom w:w="0" w:type="dxa"/>
            </w:tcMar>
            <w:vAlign w:val="center"/>
          </w:tcPr>
          <w:p w14:paraId="062432C9" w14:textId="77777777" w:rsidR="00FE53FA" w:rsidRDefault="00976ABD">
            <w:pPr>
              <w:keepNext/>
              <w:keepLines/>
              <w:spacing w:after="0" w:line="240" w:lineRule="auto"/>
            </w:pPr>
            <w:r>
              <w:rPr>
                <w:sz w:val="18"/>
              </w:rPr>
              <w:t>7</w:t>
            </w:r>
          </w:p>
        </w:tc>
        <w:tc>
          <w:tcPr>
            <w:tcW w:w="3180" w:type="dxa"/>
            <w:tcMar>
              <w:top w:w="0" w:type="dxa"/>
              <w:bottom w:w="0" w:type="dxa"/>
            </w:tcMar>
            <w:vAlign w:val="center"/>
          </w:tcPr>
          <w:p w14:paraId="35BCFE4B" w14:textId="77777777" w:rsidR="00FE53FA" w:rsidRDefault="00976ABD">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2E7462B5" w14:textId="77777777" w:rsidR="00FE53FA" w:rsidRDefault="00976ABD">
            <w:pPr>
              <w:keepNext/>
              <w:keepLines/>
              <w:spacing w:after="0" w:line="240" w:lineRule="auto"/>
            </w:pPr>
            <w:r>
              <w:rPr>
                <w:sz w:val="18"/>
              </w:rPr>
              <w:t>7</w:t>
            </w:r>
          </w:p>
        </w:tc>
        <w:tc>
          <w:tcPr>
            <w:tcW w:w="1860" w:type="dxa"/>
            <w:tcMar>
              <w:top w:w="0" w:type="dxa"/>
              <w:bottom w:w="0" w:type="dxa"/>
            </w:tcMar>
            <w:vAlign w:val="center"/>
          </w:tcPr>
          <w:p w14:paraId="41FB7CF7" w14:textId="77777777" w:rsidR="00FE53FA" w:rsidRDefault="00976ABD">
            <w:pPr>
              <w:keepNext/>
              <w:keepLines/>
              <w:spacing w:after="0" w:line="240" w:lineRule="auto"/>
              <w:jc w:val="right"/>
            </w:pPr>
            <w:r>
              <w:rPr>
                <w:sz w:val="18"/>
              </w:rPr>
              <w:t>0,00</w:t>
            </w:r>
          </w:p>
        </w:tc>
        <w:tc>
          <w:tcPr>
            <w:tcW w:w="1860" w:type="dxa"/>
            <w:tcMar>
              <w:top w:w="0" w:type="dxa"/>
              <w:bottom w:w="0" w:type="dxa"/>
            </w:tcMar>
            <w:vAlign w:val="center"/>
          </w:tcPr>
          <w:p w14:paraId="67F5E6F2" w14:textId="77777777" w:rsidR="00FE53FA" w:rsidRDefault="00976ABD">
            <w:pPr>
              <w:keepNext/>
              <w:keepLines/>
              <w:spacing w:after="0" w:line="240" w:lineRule="auto"/>
              <w:jc w:val="right"/>
            </w:pPr>
            <w:r>
              <w:rPr>
                <w:sz w:val="18"/>
              </w:rPr>
              <w:t>0,00</w:t>
            </w:r>
          </w:p>
        </w:tc>
        <w:tc>
          <w:tcPr>
            <w:tcW w:w="700" w:type="dxa"/>
            <w:tcMar>
              <w:top w:w="0" w:type="dxa"/>
              <w:bottom w:w="0" w:type="dxa"/>
            </w:tcMar>
            <w:vAlign w:val="center"/>
          </w:tcPr>
          <w:p w14:paraId="5FA9BC3C" w14:textId="77777777" w:rsidR="00FE53FA" w:rsidRDefault="00976ABD">
            <w:pPr>
              <w:keepNext/>
              <w:keepLines/>
              <w:spacing w:after="0" w:line="240" w:lineRule="auto"/>
              <w:jc w:val="right"/>
            </w:pPr>
            <w:r>
              <w:rPr>
                <w:sz w:val="18"/>
              </w:rPr>
              <w:t>-</w:t>
            </w:r>
          </w:p>
        </w:tc>
      </w:tr>
      <w:tr w:rsidR="00FE53FA" w14:paraId="459BFC32" w14:textId="77777777">
        <w:tblPrEx>
          <w:tblCellMar>
            <w:top w:w="0" w:type="dxa"/>
            <w:bottom w:w="0" w:type="dxa"/>
          </w:tblCellMar>
        </w:tblPrEx>
        <w:trPr>
          <w:cantSplit/>
          <w:trHeight w:val="560"/>
        </w:trPr>
        <w:tc>
          <w:tcPr>
            <w:tcW w:w="700" w:type="dxa"/>
            <w:tcMar>
              <w:top w:w="0" w:type="dxa"/>
              <w:bottom w:w="0" w:type="dxa"/>
            </w:tcMar>
            <w:vAlign w:val="center"/>
          </w:tcPr>
          <w:p w14:paraId="645BE45A" w14:textId="77777777" w:rsidR="00FE53FA" w:rsidRDefault="00976ABD">
            <w:pPr>
              <w:keepNext/>
              <w:keepLines/>
              <w:spacing w:after="0" w:line="240" w:lineRule="auto"/>
            </w:pPr>
            <w:r>
              <w:rPr>
                <w:sz w:val="18"/>
              </w:rPr>
              <w:t>4</w:t>
            </w:r>
          </w:p>
        </w:tc>
        <w:tc>
          <w:tcPr>
            <w:tcW w:w="3180" w:type="dxa"/>
            <w:tcMar>
              <w:top w:w="0" w:type="dxa"/>
              <w:bottom w:w="0" w:type="dxa"/>
            </w:tcMar>
            <w:vAlign w:val="center"/>
          </w:tcPr>
          <w:p w14:paraId="34544AFB" w14:textId="77777777" w:rsidR="00FE53FA" w:rsidRDefault="00976ABD">
            <w:pPr>
              <w:keepNext/>
              <w:keepLines/>
              <w:spacing w:after="0" w:line="240" w:lineRule="auto"/>
            </w:pPr>
            <w:r>
              <w:rPr>
                <w:sz w:val="18"/>
              </w:rPr>
              <w:t xml:space="preserve">Rashodi za nabavu nefinancijske imovine (šifre </w:t>
            </w:r>
            <w:r>
              <w:rPr>
                <w:sz w:val="18"/>
              </w:rPr>
              <w:t>41+42+43+44+45)</w:t>
            </w:r>
          </w:p>
        </w:tc>
        <w:tc>
          <w:tcPr>
            <w:tcW w:w="700" w:type="dxa"/>
            <w:tcMar>
              <w:top w:w="0" w:type="dxa"/>
              <w:bottom w:w="0" w:type="dxa"/>
            </w:tcMar>
            <w:vAlign w:val="center"/>
          </w:tcPr>
          <w:p w14:paraId="20CD4372" w14:textId="77777777" w:rsidR="00FE53FA" w:rsidRDefault="00976ABD">
            <w:pPr>
              <w:keepNext/>
              <w:keepLines/>
              <w:spacing w:after="0" w:line="240" w:lineRule="auto"/>
            </w:pPr>
            <w:r>
              <w:rPr>
                <w:sz w:val="18"/>
              </w:rPr>
              <w:t>4</w:t>
            </w:r>
          </w:p>
        </w:tc>
        <w:tc>
          <w:tcPr>
            <w:tcW w:w="1860" w:type="dxa"/>
            <w:tcMar>
              <w:top w:w="0" w:type="dxa"/>
              <w:bottom w:w="0" w:type="dxa"/>
            </w:tcMar>
            <w:vAlign w:val="center"/>
          </w:tcPr>
          <w:p w14:paraId="7DA13218" w14:textId="77777777" w:rsidR="00FE53FA" w:rsidRDefault="00976ABD">
            <w:pPr>
              <w:keepNext/>
              <w:keepLines/>
              <w:spacing w:after="0" w:line="240" w:lineRule="auto"/>
              <w:jc w:val="right"/>
            </w:pPr>
            <w:r>
              <w:rPr>
                <w:sz w:val="18"/>
              </w:rPr>
              <w:t>1.988,05</w:t>
            </w:r>
          </w:p>
        </w:tc>
        <w:tc>
          <w:tcPr>
            <w:tcW w:w="1860" w:type="dxa"/>
            <w:tcMar>
              <w:top w:w="0" w:type="dxa"/>
              <w:bottom w:w="0" w:type="dxa"/>
            </w:tcMar>
            <w:vAlign w:val="center"/>
          </w:tcPr>
          <w:p w14:paraId="2C0BC013" w14:textId="77777777" w:rsidR="00FE53FA" w:rsidRDefault="00976ABD">
            <w:pPr>
              <w:keepNext/>
              <w:keepLines/>
              <w:spacing w:after="0" w:line="240" w:lineRule="auto"/>
              <w:jc w:val="right"/>
            </w:pPr>
            <w:r>
              <w:rPr>
                <w:sz w:val="18"/>
              </w:rPr>
              <w:t>7.741,11</w:t>
            </w:r>
          </w:p>
        </w:tc>
        <w:tc>
          <w:tcPr>
            <w:tcW w:w="700" w:type="dxa"/>
            <w:tcMar>
              <w:top w:w="0" w:type="dxa"/>
              <w:bottom w:w="0" w:type="dxa"/>
            </w:tcMar>
            <w:vAlign w:val="center"/>
          </w:tcPr>
          <w:p w14:paraId="59D46E65" w14:textId="77777777" w:rsidR="00FE53FA" w:rsidRDefault="00976ABD">
            <w:pPr>
              <w:keepNext/>
              <w:keepLines/>
              <w:spacing w:after="0" w:line="240" w:lineRule="auto"/>
              <w:jc w:val="right"/>
            </w:pPr>
            <w:r>
              <w:rPr>
                <w:sz w:val="18"/>
              </w:rPr>
              <w:t>389,4</w:t>
            </w:r>
          </w:p>
        </w:tc>
      </w:tr>
      <w:tr w:rsidR="00FE53FA" w14:paraId="0E792DA5" w14:textId="77777777">
        <w:tblPrEx>
          <w:tblCellMar>
            <w:top w:w="0" w:type="dxa"/>
            <w:bottom w:w="0" w:type="dxa"/>
          </w:tblCellMar>
        </w:tblPrEx>
        <w:trPr>
          <w:cantSplit/>
          <w:trHeight w:val="560"/>
        </w:trPr>
        <w:tc>
          <w:tcPr>
            <w:tcW w:w="700" w:type="dxa"/>
            <w:tcMar>
              <w:top w:w="0" w:type="dxa"/>
              <w:bottom w:w="0" w:type="dxa"/>
            </w:tcMar>
            <w:vAlign w:val="center"/>
          </w:tcPr>
          <w:p w14:paraId="0C26EC66" w14:textId="77777777" w:rsidR="00FE53FA" w:rsidRDefault="00FE53FA">
            <w:pPr>
              <w:keepNext/>
              <w:keepLines/>
              <w:spacing w:after="0" w:line="240" w:lineRule="auto"/>
            </w:pPr>
          </w:p>
        </w:tc>
        <w:tc>
          <w:tcPr>
            <w:tcW w:w="3180" w:type="dxa"/>
            <w:tcMar>
              <w:top w:w="0" w:type="dxa"/>
              <w:bottom w:w="0" w:type="dxa"/>
            </w:tcMar>
            <w:vAlign w:val="center"/>
          </w:tcPr>
          <w:p w14:paraId="4C47BD8D" w14:textId="77777777" w:rsidR="00FE53FA" w:rsidRDefault="00976ABD">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773FA269" w14:textId="77777777" w:rsidR="00FE53FA" w:rsidRDefault="00976ABD">
            <w:pPr>
              <w:keepNext/>
              <w:keepLines/>
              <w:spacing w:after="0" w:line="240" w:lineRule="auto"/>
            </w:pPr>
            <w:r>
              <w:rPr>
                <w:b/>
                <w:sz w:val="18"/>
              </w:rPr>
              <w:t>Y002</w:t>
            </w:r>
          </w:p>
        </w:tc>
        <w:tc>
          <w:tcPr>
            <w:tcW w:w="1860" w:type="dxa"/>
            <w:tcMar>
              <w:top w:w="0" w:type="dxa"/>
              <w:bottom w:w="0" w:type="dxa"/>
            </w:tcMar>
            <w:vAlign w:val="center"/>
          </w:tcPr>
          <w:p w14:paraId="5F468E54" w14:textId="77777777" w:rsidR="00FE53FA" w:rsidRDefault="00976ABD">
            <w:pPr>
              <w:keepNext/>
              <w:keepLines/>
              <w:spacing w:after="0" w:line="240" w:lineRule="auto"/>
              <w:jc w:val="right"/>
            </w:pPr>
            <w:r>
              <w:rPr>
                <w:b/>
                <w:sz w:val="18"/>
              </w:rPr>
              <w:t>1.988,05</w:t>
            </w:r>
          </w:p>
        </w:tc>
        <w:tc>
          <w:tcPr>
            <w:tcW w:w="1860" w:type="dxa"/>
            <w:tcMar>
              <w:top w:w="0" w:type="dxa"/>
              <w:bottom w:w="0" w:type="dxa"/>
            </w:tcMar>
            <w:vAlign w:val="center"/>
          </w:tcPr>
          <w:p w14:paraId="30CF13D8" w14:textId="77777777" w:rsidR="00FE53FA" w:rsidRDefault="00976ABD">
            <w:pPr>
              <w:keepNext/>
              <w:keepLines/>
              <w:spacing w:after="0" w:line="240" w:lineRule="auto"/>
              <w:jc w:val="right"/>
            </w:pPr>
            <w:r>
              <w:rPr>
                <w:b/>
                <w:sz w:val="18"/>
              </w:rPr>
              <w:t>7.741,11</w:t>
            </w:r>
          </w:p>
        </w:tc>
        <w:tc>
          <w:tcPr>
            <w:tcW w:w="700" w:type="dxa"/>
            <w:tcMar>
              <w:top w:w="0" w:type="dxa"/>
              <w:bottom w:w="0" w:type="dxa"/>
            </w:tcMar>
            <w:vAlign w:val="center"/>
          </w:tcPr>
          <w:p w14:paraId="13390B74" w14:textId="77777777" w:rsidR="00FE53FA" w:rsidRDefault="00976ABD">
            <w:pPr>
              <w:keepNext/>
              <w:keepLines/>
              <w:spacing w:after="0" w:line="240" w:lineRule="auto"/>
              <w:jc w:val="right"/>
            </w:pPr>
            <w:r>
              <w:rPr>
                <w:b/>
                <w:sz w:val="18"/>
              </w:rPr>
              <w:t>389,4</w:t>
            </w:r>
          </w:p>
        </w:tc>
      </w:tr>
      <w:tr w:rsidR="00FE53FA" w14:paraId="7947E88D" w14:textId="77777777">
        <w:tblPrEx>
          <w:tblCellMar>
            <w:top w:w="0" w:type="dxa"/>
            <w:bottom w:w="0" w:type="dxa"/>
          </w:tblCellMar>
        </w:tblPrEx>
        <w:trPr>
          <w:cantSplit/>
          <w:trHeight w:val="560"/>
        </w:trPr>
        <w:tc>
          <w:tcPr>
            <w:tcW w:w="700" w:type="dxa"/>
            <w:tcMar>
              <w:top w:w="0" w:type="dxa"/>
              <w:bottom w:w="0" w:type="dxa"/>
            </w:tcMar>
            <w:vAlign w:val="center"/>
          </w:tcPr>
          <w:p w14:paraId="59D8D7E0" w14:textId="77777777" w:rsidR="00FE53FA" w:rsidRDefault="00976ABD">
            <w:pPr>
              <w:keepNext/>
              <w:keepLines/>
              <w:spacing w:after="0" w:line="240" w:lineRule="auto"/>
            </w:pPr>
            <w:r>
              <w:rPr>
                <w:sz w:val="18"/>
              </w:rPr>
              <w:t>8</w:t>
            </w:r>
          </w:p>
        </w:tc>
        <w:tc>
          <w:tcPr>
            <w:tcW w:w="3180" w:type="dxa"/>
            <w:tcMar>
              <w:top w:w="0" w:type="dxa"/>
              <w:bottom w:w="0" w:type="dxa"/>
            </w:tcMar>
            <w:vAlign w:val="center"/>
          </w:tcPr>
          <w:p w14:paraId="6EDE8A68" w14:textId="77777777" w:rsidR="00FE53FA" w:rsidRDefault="00976ABD">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6A70B668" w14:textId="77777777" w:rsidR="00FE53FA" w:rsidRDefault="00976ABD">
            <w:pPr>
              <w:keepNext/>
              <w:keepLines/>
              <w:spacing w:after="0" w:line="240" w:lineRule="auto"/>
            </w:pPr>
            <w:r>
              <w:rPr>
                <w:sz w:val="18"/>
              </w:rPr>
              <w:t>8</w:t>
            </w:r>
          </w:p>
        </w:tc>
        <w:tc>
          <w:tcPr>
            <w:tcW w:w="1860" w:type="dxa"/>
            <w:tcMar>
              <w:top w:w="0" w:type="dxa"/>
              <w:bottom w:w="0" w:type="dxa"/>
            </w:tcMar>
            <w:vAlign w:val="center"/>
          </w:tcPr>
          <w:p w14:paraId="0112B317" w14:textId="77777777" w:rsidR="00FE53FA" w:rsidRDefault="00976ABD">
            <w:pPr>
              <w:keepNext/>
              <w:keepLines/>
              <w:spacing w:after="0" w:line="240" w:lineRule="auto"/>
              <w:jc w:val="right"/>
            </w:pPr>
            <w:r>
              <w:rPr>
                <w:sz w:val="18"/>
              </w:rPr>
              <w:t>0,00</w:t>
            </w:r>
          </w:p>
        </w:tc>
        <w:tc>
          <w:tcPr>
            <w:tcW w:w="1860" w:type="dxa"/>
            <w:tcMar>
              <w:top w:w="0" w:type="dxa"/>
              <w:bottom w:w="0" w:type="dxa"/>
            </w:tcMar>
            <w:vAlign w:val="center"/>
          </w:tcPr>
          <w:p w14:paraId="456D1DC5" w14:textId="77777777" w:rsidR="00FE53FA" w:rsidRDefault="00976ABD">
            <w:pPr>
              <w:keepNext/>
              <w:keepLines/>
              <w:spacing w:after="0" w:line="240" w:lineRule="auto"/>
              <w:jc w:val="right"/>
            </w:pPr>
            <w:r>
              <w:rPr>
                <w:sz w:val="18"/>
              </w:rPr>
              <w:t>0,00</w:t>
            </w:r>
          </w:p>
        </w:tc>
        <w:tc>
          <w:tcPr>
            <w:tcW w:w="700" w:type="dxa"/>
            <w:tcMar>
              <w:top w:w="0" w:type="dxa"/>
              <w:bottom w:w="0" w:type="dxa"/>
            </w:tcMar>
            <w:vAlign w:val="center"/>
          </w:tcPr>
          <w:p w14:paraId="061BF30D" w14:textId="77777777" w:rsidR="00FE53FA" w:rsidRDefault="00976ABD">
            <w:pPr>
              <w:keepNext/>
              <w:keepLines/>
              <w:spacing w:after="0" w:line="240" w:lineRule="auto"/>
              <w:jc w:val="right"/>
            </w:pPr>
            <w:r>
              <w:rPr>
                <w:sz w:val="18"/>
              </w:rPr>
              <w:t>-</w:t>
            </w:r>
          </w:p>
        </w:tc>
      </w:tr>
      <w:tr w:rsidR="00FE53FA" w14:paraId="0A9C9429" w14:textId="77777777">
        <w:tblPrEx>
          <w:tblCellMar>
            <w:top w:w="0" w:type="dxa"/>
            <w:bottom w:w="0" w:type="dxa"/>
          </w:tblCellMar>
        </w:tblPrEx>
        <w:trPr>
          <w:cantSplit/>
          <w:trHeight w:val="560"/>
        </w:trPr>
        <w:tc>
          <w:tcPr>
            <w:tcW w:w="700" w:type="dxa"/>
            <w:tcMar>
              <w:top w:w="0" w:type="dxa"/>
              <w:bottom w:w="0" w:type="dxa"/>
            </w:tcMar>
            <w:vAlign w:val="center"/>
          </w:tcPr>
          <w:p w14:paraId="56B15737" w14:textId="77777777" w:rsidR="00FE53FA" w:rsidRDefault="00976ABD">
            <w:pPr>
              <w:keepNext/>
              <w:keepLines/>
              <w:spacing w:after="0" w:line="240" w:lineRule="auto"/>
            </w:pPr>
            <w:r>
              <w:rPr>
                <w:sz w:val="18"/>
              </w:rPr>
              <w:t>5</w:t>
            </w:r>
          </w:p>
        </w:tc>
        <w:tc>
          <w:tcPr>
            <w:tcW w:w="3180" w:type="dxa"/>
            <w:tcMar>
              <w:top w:w="0" w:type="dxa"/>
              <w:bottom w:w="0" w:type="dxa"/>
            </w:tcMar>
            <w:vAlign w:val="center"/>
          </w:tcPr>
          <w:p w14:paraId="6C6BCBB1" w14:textId="77777777" w:rsidR="00FE53FA" w:rsidRDefault="00976ABD">
            <w:pPr>
              <w:keepNext/>
              <w:keepLines/>
              <w:spacing w:after="0" w:line="240" w:lineRule="auto"/>
            </w:pPr>
            <w:r>
              <w:rPr>
                <w:sz w:val="18"/>
              </w:rPr>
              <w:t xml:space="preserve">Izdaci za financijsku imovinu i </w:t>
            </w:r>
            <w:r>
              <w:rPr>
                <w:sz w:val="18"/>
              </w:rPr>
              <w:t>otplate zajmova (šifre 51+52+53+54+55)</w:t>
            </w:r>
          </w:p>
        </w:tc>
        <w:tc>
          <w:tcPr>
            <w:tcW w:w="700" w:type="dxa"/>
            <w:tcMar>
              <w:top w:w="0" w:type="dxa"/>
              <w:bottom w:w="0" w:type="dxa"/>
            </w:tcMar>
            <w:vAlign w:val="center"/>
          </w:tcPr>
          <w:p w14:paraId="7E724905" w14:textId="77777777" w:rsidR="00FE53FA" w:rsidRDefault="00976ABD">
            <w:pPr>
              <w:keepNext/>
              <w:keepLines/>
              <w:spacing w:after="0" w:line="240" w:lineRule="auto"/>
            </w:pPr>
            <w:r>
              <w:rPr>
                <w:sz w:val="18"/>
              </w:rPr>
              <w:t>5</w:t>
            </w:r>
          </w:p>
        </w:tc>
        <w:tc>
          <w:tcPr>
            <w:tcW w:w="1860" w:type="dxa"/>
            <w:tcMar>
              <w:top w:w="0" w:type="dxa"/>
              <w:bottom w:w="0" w:type="dxa"/>
            </w:tcMar>
            <w:vAlign w:val="center"/>
          </w:tcPr>
          <w:p w14:paraId="0168519C" w14:textId="77777777" w:rsidR="00FE53FA" w:rsidRDefault="00976ABD">
            <w:pPr>
              <w:keepNext/>
              <w:keepLines/>
              <w:spacing w:after="0" w:line="240" w:lineRule="auto"/>
              <w:jc w:val="right"/>
            </w:pPr>
            <w:r>
              <w:rPr>
                <w:sz w:val="18"/>
              </w:rPr>
              <w:t>2.654.456,17</w:t>
            </w:r>
          </w:p>
        </w:tc>
        <w:tc>
          <w:tcPr>
            <w:tcW w:w="1860" w:type="dxa"/>
            <w:tcMar>
              <w:top w:w="0" w:type="dxa"/>
              <w:bottom w:w="0" w:type="dxa"/>
            </w:tcMar>
            <w:vAlign w:val="center"/>
          </w:tcPr>
          <w:p w14:paraId="1A0F8CD7" w14:textId="77777777" w:rsidR="00FE53FA" w:rsidRDefault="00976ABD">
            <w:pPr>
              <w:keepNext/>
              <w:keepLines/>
              <w:spacing w:after="0" w:line="240" w:lineRule="auto"/>
              <w:jc w:val="right"/>
            </w:pPr>
            <w:r>
              <w:rPr>
                <w:sz w:val="18"/>
              </w:rPr>
              <w:t>0,00</w:t>
            </w:r>
          </w:p>
        </w:tc>
        <w:tc>
          <w:tcPr>
            <w:tcW w:w="700" w:type="dxa"/>
            <w:tcMar>
              <w:top w:w="0" w:type="dxa"/>
              <w:bottom w:w="0" w:type="dxa"/>
            </w:tcMar>
            <w:vAlign w:val="center"/>
          </w:tcPr>
          <w:p w14:paraId="619ACC4D" w14:textId="77777777" w:rsidR="00FE53FA" w:rsidRDefault="00976ABD">
            <w:pPr>
              <w:keepNext/>
              <w:keepLines/>
              <w:spacing w:after="0" w:line="240" w:lineRule="auto"/>
              <w:jc w:val="right"/>
            </w:pPr>
            <w:r>
              <w:rPr>
                <w:sz w:val="18"/>
              </w:rPr>
              <w:t>0</w:t>
            </w:r>
          </w:p>
        </w:tc>
      </w:tr>
      <w:tr w:rsidR="00FE53FA" w14:paraId="54E21E2B" w14:textId="77777777">
        <w:tblPrEx>
          <w:tblCellMar>
            <w:top w:w="0" w:type="dxa"/>
            <w:bottom w:w="0" w:type="dxa"/>
          </w:tblCellMar>
        </w:tblPrEx>
        <w:trPr>
          <w:cantSplit/>
          <w:trHeight w:val="560"/>
        </w:trPr>
        <w:tc>
          <w:tcPr>
            <w:tcW w:w="700" w:type="dxa"/>
            <w:tcMar>
              <w:top w:w="0" w:type="dxa"/>
              <w:bottom w:w="0" w:type="dxa"/>
            </w:tcMar>
            <w:vAlign w:val="center"/>
          </w:tcPr>
          <w:p w14:paraId="33EC8D29" w14:textId="77777777" w:rsidR="00FE53FA" w:rsidRDefault="00FE53FA">
            <w:pPr>
              <w:keepNext/>
              <w:keepLines/>
              <w:spacing w:after="0" w:line="240" w:lineRule="auto"/>
            </w:pPr>
          </w:p>
        </w:tc>
        <w:tc>
          <w:tcPr>
            <w:tcW w:w="3180" w:type="dxa"/>
            <w:tcMar>
              <w:top w:w="0" w:type="dxa"/>
              <w:bottom w:w="0" w:type="dxa"/>
            </w:tcMar>
            <w:vAlign w:val="center"/>
          </w:tcPr>
          <w:p w14:paraId="14F03471" w14:textId="77777777" w:rsidR="00FE53FA" w:rsidRDefault="00976ABD">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5E187EA8" w14:textId="77777777" w:rsidR="00FE53FA" w:rsidRDefault="00976ABD">
            <w:pPr>
              <w:keepNext/>
              <w:keepLines/>
              <w:spacing w:after="0" w:line="240" w:lineRule="auto"/>
            </w:pPr>
            <w:r>
              <w:rPr>
                <w:b/>
                <w:sz w:val="18"/>
              </w:rPr>
              <w:t>X003, Y003</w:t>
            </w:r>
          </w:p>
        </w:tc>
        <w:tc>
          <w:tcPr>
            <w:tcW w:w="1860" w:type="dxa"/>
            <w:tcMar>
              <w:top w:w="0" w:type="dxa"/>
              <w:bottom w:w="0" w:type="dxa"/>
            </w:tcMar>
            <w:vAlign w:val="center"/>
          </w:tcPr>
          <w:p w14:paraId="6CBFE84B" w14:textId="77777777" w:rsidR="00FE53FA" w:rsidRDefault="00976ABD">
            <w:pPr>
              <w:keepNext/>
              <w:keepLines/>
              <w:spacing w:after="0" w:line="240" w:lineRule="auto"/>
              <w:jc w:val="right"/>
            </w:pPr>
            <w:r>
              <w:rPr>
                <w:b/>
                <w:sz w:val="18"/>
              </w:rPr>
              <w:t>2.654.456,17</w:t>
            </w:r>
          </w:p>
        </w:tc>
        <w:tc>
          <w:tcPr>
            <w:tcW w:w="1860" w:type="dxa"/>
            <w:tcMar>
              <w:top w:w="0" w:type="dxa"/>
              <w:bottom w:w="0" w:type="dxa"/>
            </w:tcMar>
            <w:vAlign w:val="center"/>
          </w:tcPr>
          <w:p w14:paraId="193F695A" w14:textId="77777777" w:rsidR="00FE53FA" w:rsidRDefault="00976ABD">
            <w:pPr>
              <w:keepNext/>
              <w:keepLines/>
              <w:spacing w:after="0" w:line="240" w:lineRule="auto"/>
              <w:jc w:val="right"/>
            </w:pPr>
            <w:r>
              <w:rPr>
                <w:b/>
                <w:sz w:val="18"/>
              </w:rPr>
              <w:t>0,00</w:t>
            </w:r>
          </w:p>
        </w:tc>
        <w:tc>
          <w:tcPr>
            <w:tcW w:w="700" w:type="dxa"/>
            <w:tcMar>
              <w:top w:w="0" w:type="dxa"/>
              <w:bottom w:w="0" w:type="dxa"/>
            </w:tcMar>
            <w:vAlign w:val="center"/>
          </w:tcPr>
          <w:p w14:paraId="30B96EF3" w14:textId="77777777" w:rsidR="00FE53FA" w:rsidRDefault="00976ABD">
            <w:pPr>
              <w:keepNext/>
              <w:keepLines/>
              <w:spacing w:after="0" w:line="240" w:lineRule="auto"/>
              <w:jc w:val="right"/>
            </w:pPr>
            <w:r>
              <w:rPr>
                <w:b/>
                <w:sz w:val="18"/>
              </w:rPr>
              <w:t>0</w:t>
            </w:r>
          </w:p>
        </w:tc>
      </w:tr>
      <w:tr w:rsidR="00FE53FA" w14:paraId="141B6DCD" w14:textId="77777777">
        <w:tblPrEx>
          <w:tblCellMar>
            <w:top w:w="0" w:type="dxa"/>
            <w:bottom w:w="0" w:type="dxa"/>
          </w:tblCellMar>
        </w:tblPrEx>
        <w:trPr>
          <w:cantSplit/>
          <w:trHeight w:val="560"/>
        </w:trPr>
        <w:tc>
          <w:tcPr>
            <w:tcW w:w="700" w:type="dxa"/>
            <w:tcMar>
              <w:top w:w="0" w:type="dxa"/>
              <w:bottom w:w="0" w:type="dxa"/>
            </w:tcMar>
            <w:vAlign w:val="center"/>
          </w:tcPr>
          <w:p w14:paraId="01AC32D0" w14:textId="77777777" w:rsidR="00FE53FA" w:rsidRDefault="00FE53FA">
            <w:pPr>
              <w:keepNext/>
              <w:keepLines/>
              <w:spacing w:after="0" w:line="240" w:lineRule="auto"/>
            </w:pPr>
          </w:p>
        </w:tc>
        <w:tc>
          <w:tcPr>
            <w:tcW w:w="3180" w:type="dxa"/>
            <w:tcMar>
              <w:top w:w="0" w:type="dxa"/>
              <w:bottom w:w="0" w:type="dxa"/>
            </w:tcMar>
            <w:vAlign w:val="center"/>
          </w:tcPr>
          <w:p w14:paraId="46260B36" w14:textId="77777777" w:rsidR="00FE53FA" w:rsidRDefault="00976ABD">
            <w:pPr>
              <w:keepNext/>
              <w:keepLines/>
              <w:spacing w:after="0" w:line="240" w:lineRule="auto"/>
            </w:pPr>
            <w:r>
              <w:rPr>
                <w:b/>
                <w:sz w:val="18"/>
              </w:rPr>
              <w:t>MANJAK PRIHODA I PRIMITAKA (šifre Y345-X678)</w:t>
            </w:r>
          </w:p>
        </w:tc>
        <w:tc>
          <w:tcPr>
            <w:tcW w:w="700" w:type="dxa"/>
            <w:tcMar>
              <w:top w:w="0" w:type="dxa"/>
              <w:bottom w:w="0" w:type="dxa"/>
            </w:tcMar>
            <w:vAlign w:val="center"/>
          </w:tcPr>
          <w:p w14:paraId="3C88F28F" w14:textId="77777777" w:rsidR="00FE53FA" w:rsidRDefault="00976ABD">
            <w:pPr>
              <w:keepNext/>
              <w:keepLines/>
              <w:spacing w:after="0" w:line="240" w:lineRule="auto"/>
            </w:pPr>
            <w:r>
              <w:rPr>
                <w:b/>
                <w:sz w:val="18"/>
              </w:rPr>
              <w:t>Y005</w:t>
            </w:r>
          </w:p>
        </w:tc>
        <w:tc>
          <w:tcPr>
            <w:tcW w:w="1860" w:type="dxa"/>
            <w:tcMar>
              <w:top w:w="0" w:type="dxa"/>
              <w:bottom w:w="0" w:type="dxa"/>
            </w:tcMar>
            <w:vAlign w:val="center"/>
          </w:tcPr>
          <w:p w14:paraId="6CCE1D8E" w14:textId="77777777" w:rsidR="00FE53FA" w:rsidRDefault="00976ABD">
            <w:pPr>
              <w:keepNext/>
              <w:keepLines/>
              <w:spacing w:after="0" w:line="240" w:lineRule="auto"/>
              <w:jc w:val="right"/>
            </w:pPr>
            <w:r>
              <w:rPr>
                <w:b/>
                <w:sz w:val="18"/>
              </w:rPr>
              <w:t>0,00</w:t>
            </w:r>
          </w:p>
        </w:tc>
        <w:tc>
          <w:tcPr>
            <w:tcW w:w="1860" w:type="dxa"/>
            <w:tcMar>
              <w:top w:w="0" w:type="dxa"/>
              <w:bottom w:w="0" w:type="dxa"/>
            </w:tcMar>
            <w:vAlign w:val="center"/>
          </w:tcPr>
          <w:p w14:paraId="3A50C6F9" w14:textId="77777777" w:rsidR="00FE53FA" w:rsidRDefault="00976ABD">
            <w:pPr>
              <w:keepNext/>
              <w:keepLines/>
              <w:spacing w:after="0" w:line="240" w:lineRule="auto"/>
              <w:jc w:val="right"/>
            </w:pPr>
            <w:r>
              <w:rPr>
                <w:b/>
                <w:sz w:val="18"/>
              </w:rPr>
              <w:t>213.436,41</w:t>
            </w:r>
          </w:p>
        </w:tc>
        <w:tc>
          <w:tcPr>
            <w:tcW w:w="700" w:type="dxa"/>
            <w:tcMar>
              <w:top w:w="0" w:type="dxa"/>
              <w:bottom w:w="0" w:type="dxa"/>
            </w:tcMar>
            <w:vAlign w:val="center"/>
          </w:tcPr>
          <w:p w14:paraId="47EE17FF" w14:textId="77777777" w:rsidR="00FE53FA" w:rsidRDefault="00976ABD">
            <w:pPr>
              <w:keepNext/>
              <w:keepLines/>
              <w:spacing w:after="0" w:line="240" w:lineRule="auto"/>
              <w:jc w:val="right"/>
            </w:pPr>
            <w:r>
              <w:rPr>
                <w:b/>
                <w:sz w:val="18"/>
              </w:rPr>
              <w:t>-</w:t>
            </w:r>
          </w:p>
        </w:tc>
      </w:tr>
    </w:tbl>
    <w:p w14:paraId="7B5014FB" w14:textId="77777777" w:rsidR="00FE53FA" w:rsidRDefault="00FE53FA">
      <w:pPr>
        <w:spacing w:after="0"/>
      </w:pPr>
    </w:p>
    <w:p w14:paraId="4A41D446" w14:textId="77777777" w:rsidR="00FE53FA" w:rsidRDefault="00976ABD">
      <w:pPr>
        <w:spacing w:line="240" w:lineRule="auto"/>
        <w:jc w:val="both"/>
      </w:pPr>
      <w:r>
        <w:t xml:space="preserve">Na </w:t>
      </w:r>
      <w:r>
        <w:t>manjak prihoda najvećim dijelom utjecali su rashodi za zaposlene. Naime, prema novom Pravilniku o proračunskom računovodstvu, koji je stupio na snagu 01. siječnja 2025.godine, ukinuta je podskupine 193  - kontinuirani rashodi. Pravilnik propisuje da rashod za pomoći unutar općeg proračuna nastaje u trenutku nastanka obveze. Tako smo na rashodovnoj strani evidentirali sedam rashoda za plaće (prosinac 2024. g. do lipanj 2025. g.), dok na prihodovnoj strani imamo šest prihoda za plaće (prosinac 2024. g. do svi</w:t>
      </w:r>
      <w:r>
        <w:t xml:space="preserve">banj 2025. g.).  Manjim dijelom na manjak prihoda utjecalo je povećanje materijalnih rashoda, posebno rashoda za usluge </w:t>
      </w:r>
      <w:r>
        <w:lastRenderedPageBreak/>
        <w:t>(npr. nužna potreba servisiranja klimatizacijskog sustava u zgradama doma, škole te školske dvorane).</w:t>
      </w:r>
    </w:p>
    <w:p w14:paraId="5A795B44" w14:textId="77777777" w:rsidR="00FE53FA" w:rsidRDefault="00976ABD">
      <w:r>
        <w:br/>
      </w:r>
    </w:p>
    <w:p w14:paraId="7CAF37BC" w14:textId="77777777" w:rsidR="00FE53FA" w:rsidRDefault="00976ABD">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17C2A5B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8FA270C"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FB8EC05"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44374E6"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AE889C6"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5FA5231"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F2FCC6F" w14:textId="77777777" w:rsidR="00FE53FA" w:rsidRDefault="00976ABD">
            <w:pPr>
              <w:keepNext/>
              <w:keepLines/>
              <w:spacing w:after="0" w:line="240" w:lineRule="auto"/>
              <w:jc w:val="center"/>
            </w:pPr>
            <w:r>
              <w:rPr>
                <w:b/>
                <w:sz w:val="18"/>
              </w:rPr>
              <w:t>Indeks (%)</w:t>
            </w:r>
          </w:p>
        </w:tc>
      </w:tr>
      <w:tr w:rsidR="00FE53FA" w14:paraId="3E3D3223" w14:textId="77777777">
        <w:tblPrEx>
          <w:tblCellMar>
            <w:top w:w="0" w:type="dxa"/>
            <w:bottom w:w="0" w:type="dxa"/>
          </w:tblCellMar>
        </w:tblPrEx>
        <w:trPr>
          <w:cantSplit/>
          <w:trHeight w:val="560"/>
        </w:trPr>
        <w:tc>
          <w:tcPr>
            <w:tcW w:w="700" w:type="dxa"/>
            <w:tcMar>
              <w:top w:w="0" w:type="dxa"/>
              <w:bottom w:w="0" w:type="dxa"/>
            </w:tcMar>
            <w:vAlign w:val="center"/>
          </w:tcPr>
          <w:p w14:paraId="215C9D86" w14:textId="77777777" w:rsidR="00FE53FA" w:rsidRDefault="00976ABD">
            <w:pPr>
              <w:keepNext/>
              <w:keepLines/>
              <w:spacing w:after="0" w:line="240" w:lineRule="auto"/>
            </w:pPr>
            <w:r>
              <w:rPr>
                <w:sz w:val="18"/>
              </w:rPr>
              <w:t>63</w:t>
            </w:r>
          </w:p>
        </w:tc>
        <w:tc>
          <w:tcPr>
            <w:tcW w:w="3180" w:type="dxa"/>
            <w:tcMar>
              <w:top w:w="0" w:type="dxa"/>
              <w:bottom w:w="0" w:type="dxa"/>
            </w:tcMar>
            <w:vAlign w:val="center"/>
          </w:tcPr>
          <w:p w14:paraId="7913E60F" w14:textId="77777777" w:rsidR="00FE53FA" w:rsidRDefault="00976ABD">
            <w:pPr>
              <w:keepNext/>
              <w:keepLines/>
              <w:spacing w:after="0" w:line="240" w:lineRule="auto"/>
            </w:pPr>
            <w:r>
              <w:rPr>
                <w:sz w:val="18"/>
              </w:rPr>
              <w:t xml:space="preserve">Pomoći iz inozemstva i od subjekata unutar općeg proračuna (šifre </w:t>
            </w:r>
            <w:r>
              <w:rPr>
                <w:sz w:val="18"/>
              </w:rPr>
              <w:t>631+632+633+634+635+636+637+638+639)</w:t>
            </w:r>
          </w:p>
        </w:tc>
        <w:tc>
          <w:tcPr>
            <w:tcW w:w="700" w:type="dxa"/>
            <w:tcMar>
              <w:top w:w="0" w:type="dxa"/>
              <w:bottom w:w="0" w:type="dxa"/>
            </w:tcMar>
            <w:vAlign w:val="center"/>
          </w:tcPr>
          <w:p w14:paraId="0B6DB920" w14:textId="77777777" w:rsidR="00FE53FA" w:rsidRDefault="00976ABD">
            <w:pPr>
              <w:keepNext/>
              <w:keepLines/>
              <w:spacing w:after="0" w:line="240" w:lineRule="auto"/>
            </w:pPr>
            <w:r>
              <w:rPr>
                <w:sz w:val="18"/>
              </w:rPr>
              <w:t>63</w:t>
            </w:r>
          </w:p>
        </w:tc>
        <w:tc>
          <w:tcPr>
            <w:tcW w:w="1860" w:type="dxa"/>
            <w:tcMar>
              <w:top w:w="0" w:type="dxa"/>
              <w:bottom w:w="0" w:type="dxa"/>
            </w:tcMar>
            <w:vAlign w:val="center"/>
          </w:tcPr>
          <w:p w14:paraId="0B63B4DB" w14:textId="77777777" w:rsidR="00FE53FA" w:rsidRDefault="00976ABD">
            <w:pPr>
              <w:keepNext/>
              <w:keepLines/>
              <w:spacing w:after="0" w:line="240" w:lineRule="auto"/>
              <w:jc w:val="right"/>
            </w:pPr>
            <w:r>
              <w:rPr>
                <w:sz w:val="18"/>
              </w:rPr>
              <w:t>4.331.445,58</w:t>
            </w:r>
          </w:p>
        </w:tc>
        <w:tc>
          <w:tcPr>
            <w:tcW w:w="1860" w:type="dxa"/>
            <w:tcMar>
              <w:top w:w="0" w:type="dxa"/>
              <w:bottom w:w="0" w:type="dxa"/>
            </w:tcMar>
            <w:vAlign w:val="center"/>
          </w:tcPr>
          <w:p w14:paraId="0B1DD9D4" w14:textId="77777777" w:rsidR="00FE53FA" w:rsidRDefault="00976ABD">
            <w:pPr>
              <w:keepNext/>
              <w:keepLines/>
              <w:spacing w:after="0" w:line="240" w:lineRule="auto"/>
              <w:jc w:val="right"/>
            </w:pPr>
            <w:r>
              <w:rPr>
                <w:sz w:val="18"/>
              </w:rPr>
              <w:t>1.259.040,71</w:t>
            </w:r>
          </w:p>
        </w:tc>
        <w:tc>
          <w:tcPr>
            <w:tcW w:w="700" w:type="dxa"/>
            <w:tcMar>
              <w:top w:w="0" w:type="dxa"/>
              <w:bottom w:w="0" w:type="dxa"/>
            </w:tcMar>
            <w:vAlign w:val="center"/>
          </w:tcPr>
          <w:p w14:paraId="133A4A33" w14:textId="77777777" w:rsidR="00FE53FA" w:rsidRDefault="00976ABD">
            <w:pPr>
              <w:keepNext/>
              <w:keepLines/>
              <w:spacing w:after="0" w:line="240" w:lineRule="auto"/>
              <w:jc w:val="right"/>
            </w:pPr>
            <w:r>
              <w:rPr>
                <w:sz w:val="18"/>
              </w:rPr>
              <w:t>29,1</w:t>
            </w:r>
          </w:p>
        </w:tc>
      </w:tr>
    </w:tbl>
    <w:p w14:paraId="4CB9379D" w14:textId="77777777" w:rsidR="00FE53FA" w:rsidRDefault="00FE53FA">
      <w:pPr>
        <w:spacing w:after="0"/>
      </w:pPr>
    </w:p>
    <w:p w14:paraId="78976623" w14:textId="77777777" w:rsidR="00FE53FA" w:rsidRDefault="00976ABD">
      <w:pPr>
        <w:spacing w:line="240" w:lineRule="auto"/>
        <w:jc w:val="both"/>
      </w:pPr>
      <w:r>
        <w:t xml:space="preserve">Prihod je znatno manji u odnosu na isto razdoblje prethodne godine. Razlog tome je refundacija zadnjeg ZNS-a EU projekta Regionalni centar kompetentnosti </w:t>
      </w:r>
      <w:proofErr w:type="spellStart"/>
      <w:r>
        <w:t>Virtus</w:t>
      </w:r>
      <w:proofErr w:type="spellEnd"/>
      <w:r>
        <w:t xml:space="preserve"> i </w:t>
      </w:r>
      <w:proofErr w:type="spellStart"/>
      <w:r>
        <w:t>VirtuOs</w:t>
      </w:r>
      <w:proofErr w:type="spellEnd"/>
      <w:r>
        <w:t xml:space="preserve"> u prvoj </w:t>
      </w:r>
      <w:r>
        <w:t xml:space="preserve">polovici 2024. godine. Naime, navedeni ZNS je obuhvaćao troškove velikog broja i velikih vrijednosti projektnih aktivnosti u zadnjem kvartalu 2023. godine. Također, u prethodnoj godini ostvaren je i prihod  od Erasmus+ projekta (završna uplata realiziranih aktivnosti), te EU projekta </w:t>
      </w:r>
      <w:proofErr w:type="spellStart"/>
      <w:r>
        <w:t>Inklutour</w:t>
      </w:r>
      <w:proofErr w:type="spellEnd"/>
      <w:r>
        <w:t xml:space="preserve"> koji obrazuje i educira osobe sa invaliditetom. Radi se o tekućim i kapitalnim pomoćima temeljem prijenosa EU sredstava.</w:t>
      </w:r>
    </w:p>
    <w:p w14:paraId="63364054" w14:textId="77777777" w:rsidR="00FE53FA" w:rsidRDefault="00FE53FA"/>
    <w:p w14:paraId="334EBAD9" w14:textId="77777777" w:rsidR="00FE53FA" w:rsidRDefault="00976ABD">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2B84227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E62D29F"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371C04"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D3AA1D7"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5F8D86"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5C50E0C"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3B896F6" w14:textId="77777777" w:rsidR="00FE53FA" w:rsidRDefault="00976ABD">
            <w:pPr>
              <w:keepNext/>
              <w:keepLines/>
              <w:spacing w:after="0" w:line="240" w:lineRule="auto"/>
              <w:jc w:val="center"/>
            </w:pPr>
            <w:r>
              <w:rPr>
                <w:b/>
                <w:sz w:val="18"/>
              </w:rPr>
              <w:t>Indeks (%)</w:t>
            </w:r>
          </w:p>
        </w:tc>
      </w:tr>
      <w:tr w:rsidR="00FE53FA" w14:paraId="026506FB" w14:textId="77777777">
        <w:tblPrEx>
          <w:tblCellMar>
            <w:top w:w="0" w:type="dxa"/>
            <w:bottom w:w="0" w:type="dxa"/>
          </w:tblCellMar>
        </w:tblPrEx>
        <w:trPr>
          <w:cantSplit/>
          <w:trHeight w:val="560"/>
        </w:trPr>
        <w:tc>
          <w:tcPr>
            <w:tcW w:w="700" w:type="dxa"/>
            <w:tcMar>
              <w:top w:w="0" w:type="dxa"/>
              <w:bottom w:w="0" w:type="dxa"/>
            </w:tcMar>
            <w:vAlign w:val="center"/>
          </w:tcPr>
          <w:p w14:paraId="072B6443" w14:textId="77777777" w:rsidR="00FE53FA" w:rsidRDefault="00976ABD">
            <w:pPr>
              <w:keepNext/>
              <w:keepLines/>
              <w:spacing w:after="0" w:line="240" w:lineRule="auto"/>
            </w:pPr>
            <w:r>
              <w:rPr>
                <w:sz w:val="18"/>
              </w:rPr>
              <w:t>64</w:t>
            </w:r>
          </w:p>
        </w:tc>
        <w:tc>
          <w:tcPr>
            <w:tcW w:w="3180" w:type="dxa"/>
            <w:tcMar>
              <w:top w:w="0" w:type="dxa"/>
              <w:bottom w:w="0" w:type="dxa"/>
            </w:tcMar>
            <w:vAlign w:val="center"/>
          </w:tcPr>
          <w:p w14:paraId="26B20BD3" w14:textId="77777777" w:rsidR="00FE53FA" w:rsidRDefault="00976ABD">
            <w:pPr>
              <w:keepNext/>
              <w:keepLines/>
              <w:spacing w:after="0" w:line="240" w:lineRule="auto"/>
            </w:pPr>
            <w:r>
              <w:rPr>
                <w:sz w:val="18"/>
              </w:rPr>
              <w:t>Prihodi od imovine (šifre 641+642+643)</w:t>
            </w:r>
          </w:p>
        </w:tc>
        <w:tc>
          <w:tcPr>
            <w:tcW w:w="700" w:type="dxa"/>
            <w:tcMar>
              <w:top w:w="0" w:type="dxa"/>
              <w:bottom w:w="0" w:type="dxa"/>
            </w:tcMar>
            <w:vAlign w:val="center"/>
          </w:tcPr>
          <w:p w14:paraId="177C5AF2" w14:textId="77777777" w:rsidR="00FE53FA" w:rsidRDefault="00976ABD">
            <w:pPr>
              <w:keepNext/>
              <w:keepLines/>
              <w:spacing w:after="0" w:line="240" w:lineRule="auto"/>
            </w:pPr>
            <w:r>
              <w:rPr>
                <w:sz w:val="18"/>
              </w:rPr>
              <w:t>64</w:t>
            </w:r>
          </w:p>
        </w:tc>
        <w:tc>
          <w:tcPr>
            <w:tcW w:w="1860" w:type="dxa"/>
            <w:tcMar>
              <w:top w:w="0" w:type="dxa"/>
              <w:bottom w:w="0" w:type="dxa"/>
            </w:tcMar>
            <w:vAlign w:val="center"/>
          </w:tcPr>
          <w:p w14:paraId="18B9BFB9" w14:textId="77777777" w:rsidR="00FE53FA" w:rsidRDefault="00976ABD">
            <w:pPr>
              <w:keepNext/>
              <w:keepLines/>
              <w:spacing w:after="0" w:line="240" w:lineRule="auto"/>
              <w:jc w:val="right"/>
            </w:pPr>
            <w:r>
              <w:rPr>
                <w:sz w:val="18"/>
              </w:rPr>
              <w:t>398,16</w:t>
            </w:r>
          </w:p>
        </w:tc>
        <w:tc>
          <w:tcPr>
            <w:tcW w:w="1860" w:type="dxa"/>
            <w:tcMar>
              <w:top w:w="0" w:type="dxa"/>
              <w:bottom w:w="0" w:type="dxa"/>
            </w:tcMar>
            <w:vAlign w:val="center"/>
          </w:tcPr>
          <w:p w14:paraId="28FCCC76" w14:textId="77777777" w:rsidR="00FE53FA" w:rsidRDefault="00976ABD">
            <w:pPr>
              <w:keepNext/>
              <w:keepLines/>
              <w:spacing w:after="0" w:line="240" w:lineRule="auto"/>
              <w:jc w:val="right"/>
            </w:pPr>
            <w:r>
              <w:rPr>
                <w:sz w:val="18"/>
              </w:rPr>
              <w:t>1.131,02</w:t>
            </w:r>
          </w:p>
        </w:tc>
        <w:tc>
          <w:tcPr>
            <w:tcW w:w="700" w:type="dxa"/>
            <w:tcMar>
              <w:top w:w="0" w:type="dxa"/>
              <w:bottom w:w="0" w:type="dxa"/>
            </w:tcMar>
            <w:vAlign w:val="center"/>
          </w:tcPr>
          <w:p w14:paraId="053CA3D0" w14:textId="77777777" w:rsidR="00FE53FA" w:rsidRDefault="00976ABD">
            <w:pPr>
              <w:keepNext/>
              <w:keepLines/>
              <w:spacing w:after="0" w:line="240" w:lineRule="auto"/>
              <w:jc w:val="right"/>
            </w:pPr>
            <w:r>
              <w:rPr>
                <w:sz w:val="18"/>
              </w:rPr>
              <w:t>284,1</w:t>
            </w:r>
          </w:p>
        </w:tc>
      </w:tr>
    </w:tbl>
    <w:p w14:paraId="78C9894C" w14:textId="77777777" w:rsidR="00FE53FA" w:rsidRDefault="00FE53FA">
      <w:pPr>
        <w:spacing w:after="0"/>
      </w:pPr>
    </w:p>
    <w:p w14:paraId="66A518B4" w14:textId="77777777" w:rsidR="00FE53FA" w:rsidRDefault="00976ABD">
      <w:pPr>
        <w:spacing w:line="240" w:lineRule="auto"/>
        <w:jc w:val="both"/>
      </w:pPr>
      <w:r>
        <w:t xml:space="preserve">Navedeni prihod odnosi se na prihod od najma stana u vlasništvu Ugostiteljsko-turističke škole. Znatno je veći u </w:t>
      </w:r>
      <w:r>
        <w:t>odnosu na isto razdoblje prethodne godine zbog obnavljanja ugovora o najmu u kojemu je znatno povećana cijena najma.</w:t>
      </w:r>
    </w:p>
    <w:p w14:paraId="66B1981E" w14:textId="77777777" w:rsidR="00FE53FA" w:rsidRDefault="00FE53FA"/>
    <w:p w14:paraId="462591DD" w14:textId="77777777" w:rsidR="00FE53FA" w:rsidRDefault="00976ABD">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3C1A81C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A599265"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951EEA1"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73C6A55"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3C82289"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E1AB92"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F7FFD06" w14:textId="77777777" w:rsidR="00FE53FA" w:rsidRDefault="00976ABD">
            <w:pPr>
              <w:keepNext/>
              <w:keepLines/>
              <w:spacing w:after="0" w:line="240" w:lineRule="auto"/>
              <w:jc w:val="center"/>
            </w:pPr>
            <w:r>
              <w:rPr>
                <w:b/>
                <w:sz w:val="18"/>
              </w:rPr>
              <w:t>Indeks (%)</w:t>
            </w:r>
          </w:p>
        </w:tc>
      </w:tr>
      <w:tr w:rsidR="00FE53FA" w14:paraId="2DB861DA" w14:textId="77777777">
        <w:tblPrEx>
          <w:tblCellMar>
            <w:top w:w="0" w:type="dxa"/>
            <w:bottom w:w="0" w:type="dxa"/>
          </w:tblCellMar>
        </w:tblPrEx>
        <w:trPr>
          <w:cantSplit/>
          <w:trHeight w:val="560"/>
        </w:trPr>
        <w:tc>
          <w:tcPr>
            <w:tcW w:w="700" w:type="dxa"/>
            <w:tcMar>
              <w:top w:w="0" w:type="dxa"/>
              <w:bottom w:w="0" w:type="dxa"/>
            </w:tcMar>
            <w:vAlign w:val="center"/>
          </w:tcPr>
          <w:p w14:paraId="5FF0BA41" w14:textId="77777777" w:rsidR="00FE53FA" w:rsidRDefault="00976ABD">
            <w:pPr>
              <w:keepNext/>
              <w:keepLines/>
              <w:spacing w:after="0" w:line="240" w:lineRule="auto"/>
            </w:pPr>
            <w:r>
              <w:rPr>
                <w:sz w:val="18"/>
              </w:rPr>
              <w:t>66</w:t>
            </w:r>
          </w:p>
        </w:tc>
        <w:tc>
          <w:tcPr>
            <w:tcW w:w="3180" w:type="dxa"/>
            <w:tcMar>
              <w:top w:w="0" w:type="dxa"/>
              <w:bottom w:w="0" w:type="dxa"/>
            </w:tcMar>
            <w:vAlign w:val="center"/>
          </w:tcPr>
          <w:p w14:paraId="31263418" w14:textId="77777777" w:rsidR="00FE53FA" w:rsidRDefault="00976ABD">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21A94673" w14:textId="77777777" w:rsidR="00FE53FA" w:rsidRDefault="00976ABD">
            <w:pPr>
              <w:keepNext/>
              <w:keepLines/>
              <w:spacing w:after="0" w:line="240" w:lineRule="auto"/>
            </w:pPr>
            <w:r>
              <w:rPr>
                <w:sz w:val="18"/>
              </w:rPr>
              <w:t>66</w:t>
            </w:r>
          </w:p>
        </w:tc>
        <w:tc>
          <w:tcPr>
            <w:tcW w:w="1860" w:type="dxa"/>
            <w:tcMar>
              <w:top w:w="0" w:type="dxa"/>
              <w:bottom w:w="0" w:type="dxa"/>
            </w:tcMar>
            <w:vAlign w:val="center"/>
          </w:tcPr>
          <w:p w14:paraId="7600796C" w14:textId="77777777" w:rsidR="00FE53FA" w:rsidRDefault="00976ABD">
            <w:pPr>
              <w:keepNext/>
              <w:keepLines/>
              <w:spacing w:after="0" w:line="240" w:lineRule="auto"/>
              <w:jc w:val="right"/>
            </w:pPr>
            <w:r>
              <w:rPr>
                <w:sz w:val="18"/>
              </w:rPr>
              <w:t>22.110,00</w:t>
            </w:r>
          </w:p>
        </w:tc>
        <w:tc>
          <w:tcPr>
            <w:tcW w:w="1860" w:type="dxa"/>
            <w:tcMar>
              <w:top w:w="0" w:type="dxa"/>
              <w:bottom w:w="0" w:type="dxa"/>
            </w:tcMar>
            <w:vAlign w:val="center"/>
          </w:tcPr>
          <w:p w14:paraId="0B3F27AA" w14:textId="77777777" w:rsidR="00FE53FA" w:rsidRDefault="00976ABD">
            <w:pPr>
              <w:keepNext/>
              <w:keepLines/>
              <w:spacing w:after="0" w:line="240" w:lineRule="auto"/>
              <w:jc w:val="right"/>
            </w:pPr>
            <w:r>
              <w:rPr>
                <w:sz w:val="18"/>
              </w:rPr>
              <w:t>34.897,24</w:t>
            </w:r>
          </w:p>
        </w:tc>
        <w:tc>
          <w:tcPr>
            <w:tcW w:w="700" w:type="dxa"/>
            <w:tcMar>
              <w:top w:w="0" w:type="dxa"/>
              <w:bottom w:w="0" w:type="dxa"/>
            </w:tcMar>
            <w:vAlign w:val="center"/>
          </w:tcPr>
          <w:p w14:paraId="10E148F4" w14:textId="77777777" w:rsidR="00FE53FA" w:rsidRDefault="00976ABD">
            <w:pPr>
              <w:keepNext/>
              <w:keepLines/>
              <w:spacing w:after="0" w:line="240" w:lineRule="auto"/>
              <w:jc w:val="right"/>
            </w:pPr>
            <w:r>
              <w:rPr>
                <w:sz w:val="18"/>
              </w:rPr>
              <w:t>157,8</w:t>
            </w:r>
          </w:p>
        </w:tc>
      </w:tr>
    </w:tbl>
    <w:p w14:paraId="158EBE4A" w14:textId="77777777" w:rsidR="00FE53FA" w:rsidRDefault="00FE53FA">
      <w:pPr>
        <w:spacing w:after="0"/>
      </w:pPr>
    </w:p>
    <w:p w14:paraId="2026EB69" w14:textId="77777777" w:rsidR="00FE53FA" w:rsidRDefault="00976ABD">
      <w:pPr>
        <w:spacing w:line="240" w:lineRule="auto"/>
        <w:jc w:val="both"/>
      </w:pPr>
      <w:r>
        <w:t xml:space="preserve">Na navedenom prihodu iskazani su prihodi od najma školske </w:t>
      </w:r>
      <w:r>
        <w:t>dvorane  i praktikuma, prihodi od obrazovanja odraslih, učeničkog servisa, te pružanja usluga pripreme i isporuke hrane (catering). Prihod je veći u odnosu na isto razdoblje prethodne godine najvećim dijelom zbog prihoda ostvarenih od pružanja            usluga pripreme i isporuke hrane (cateringa).</w:t>
      </w:r>
    </w:p>
    <w:p w14:paraId="1021DC69" w14:textId="77777777" w:rsidR="00FE53FA" w:rsidRDefault="00FE53FA"/>
    <w:p w14:paraId="7E1163A2" w14:textId="77777777" w:rsidR="00FE53FA" w:rsidRDefault="00976ABD">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01B7238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C284698"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0292217"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50DA359"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74062C0"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193C4A"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F2AA2DF" w14:textId="77777777" w:rsidR="00FE53FA" w:rsidRDefault="00976ABD">
            <w:pPr>
              <w:keepNext/>
              <w:keepLines/>
              <w:spacing w:after="0" w:line="240" w:lineRule="auto"/>
              <w:jc w:val="center"/>
            </w:pPr>
            <w:r>
              <w:rPr>
                <w:b/>
                <w:sz w:val="18"/>
              </w:rPr>
              <w:t>Indeks (%)</w:t>
            </w:r>
          </w:p>
        </w:tc>
      </w:tr>
      <w:tr w:rsidR="00FE53FA" w14:paraId="782922CD" w14:textId="77777777">
        <w:tblPrEx>
          <w:tblCellMar>
            <w:top w:w="0" w:type="dxa"/>
            <w:bottom w:w="0" w:type="dxa"/>
          </w:tblCellMar>
        </w:tblPrEx>
        <w:trPr>
          <w:cantSplit/>
          <w:trHeight w:val="560"/>
        </w:trPr>
        <w:tc>
          <w:tcPr>
            <w:tcW w:w="700" w:type="dxa"/>
            <w:tcMar>
              <w:top w:w="0" w:type="dxa"/>
              <w:bottom w:w="0" w:type="dxa"/>
            </w:tcMar>
            <w:vAlign w:val="center"/>
          </w:tcPr>
          <w:p w14:paraId="69D99AD9" w14:textId="77777777" w:rsidR="00FE53FA" w:rsidRDefault="00976ABD">
            <w:pPr>
              <w:keepNext/>
              <w:keepLines/>
              <w:spacing w:after="0" w:line="240" w:lineRule="auto"/>
            </w:pPr>
            <w:r>
              <w:rPr>
                <w:sz w:val="18"/>
              </w:rPr>
              <w:t>68</w:t>
            </w:r>
          </w:p>
        </w:tc>
        <w:tc>
          <w:tcPr>
            <w:tcW w:w="3180" w:type="dxa"/>
            <w:tcMar>
              <w:top w:w="0" w:type="dxa"/>
              <w:bottom w:w="0" w:type="dxa"/>
            </w:tcMar>
            <w:vAlign w:val="center"/>
          </w:tcPr>
          <w:p w14:paraId="5C165D43" w14:textId="77777777" w:rsidR="00FE53FA" w:rsidRDefault="00976ABD">
            <w:pPr>
              <w:keepNext/>
              <w:keepLines/>
              <w:spacing w:after="0" w:line="240" w:lineRule="auto"/>
            </w:pPr>
            <w:r>
              <w:rPr>
                <w:sz w:val="18"/>
              </w:rPr>
              <w:t xml:space="preserve">Kazne, upravne mjere i ostali prihodi </w:t>
            </w:r>
            <w:r>
              <w:rPr>
                <w:sz w:val="18"/>
              </w:rPr>
              <w:t>(šifre 681+683)</w:t>
            </w:r>
          </w:p>
        </w:tc>
        <w:tc>
          <w:tcPr>
            <w:tcW w:w="700" w:type="dxa"/>
            <w:tcMar>
              <w:top w:w="0" w:type="dxa"/>
              <w:bottom w:w="0" w:type="dxa"/>
            </w:tcMar>
            <w:vAlign w:val="center"/>
          </w:tcPr>
          <w:p w14:paraId="6104A96E" w14:textId="77777777" w:rsidR="00FE53FA" w:rsidRDefault="00976ABD">
            <w:pPr>
              <w:keepNext/>
              <w:keepLines/>
              <w:spacing w:after="0" w:line="240" w:lineRule="auto"/>
            </w:pPr>
            <w:r>
              <w:rPr>
                <w:sz w:val="18"/>
              </w:rPr>
              <w:t>68</w:t>
            </w:r>
          </w:p>
        </w:tc>
        <w:tc>
          <w:tcPr>
            <w:tcW w:w="1860" w:type="dxa"/>
            <w:tcMar>
              <w:top w:w="0" w:type="dxa"/>
              <w:bottom w:w="0" w:type="dxa"/>
            </w:tcMar>
            <w:vAlign w:val="center"/>
          </w:tcPr>
          <w:p w14:paraId="0AE4D5DA" w14:textId="77777777" w:rsidR="00FE53FA" w:rsidRDefault="00976ABD">
            <w:pPr>
              <w:keepNext/>
              <w:keepLines/>
              <w:spacing w:after="0" w:line="240" w:lineRule="auto"/>
              <w:jc w:val="right"/>
            </w:pPr>
            <w:r>
              <w:rPr>
                <w:sz w:val="18"/>
              </w:rPr>
              <w:t>40.372,53</w:t>
            </w:r>
          </w:p>
        </w:tc>
        <w:tc>
          <w:tcPr>
            <w:tcW w:w="1860" w:type="dxa"/>
            <w:tcMar>
              <w:top w:w="0" w:type="dxa"/>
              <w:bottom w:w="0" w:type="dxa"/>
            </w:tcMar>
            <w:vAlign w:val="center"/>
          </w:tcPr>
          <w:p w14:paraId="07ECCD76" w14:textId="77777777" w:rsidR="00FE53FA" w:rsidRDefault="00976ABD">
            <w:pPr>
              <w:keepNext/>
              <w:keepLines/>
              <w:spacing w:after="0" w:line="240" w:lineRule="auto"/>
              <w:jc w:val="right"/>
            </w:pPr>
            <w:r>
              <w:rPr>
                <w:sz w:val="18"/>
              </w:rPr>
              <w:t>668,81</w:t>
            </w:r>
          </w:p>
        </w:tc>
        <w:tc>
          <w:tcPr>
            <w:tcW w:w="700" w:type="dxa"/>
            <w:tcMar>
              <w:top w:w="0" w:type="dxa"/>
              <w:bottom w:w="0" w:type="dxa"/>
            </w:tcMar>
            <w:vAlign w:val="center"/>
          </w:tcPr>
          <w:p w14:paraId="2292E35D" w14:textId="77777777" w:rsidR="00FE53FA" w:rsidRDefault="00976ABD">
            <w:pPr>
              <w:keepNext/>
              <w:keepLines/>
              <w:spacing w:after="0" w:line="240" w:lineRule="auto"/>
              <w:jc w:val="right"/>
            </w:pPr>
            <w:r>
              <w:rPr>
                <w:sz w:val="18"/>
              </w:rPr>
              <w:t>1,7</w:t>
            </w:r>
          </w:p>
        </w:tc>
      </w:tr>
    </w:tbl>
    <w:p w14:paraId="5D28FF44" w14:textId="77777777" w:rsidR="00FE53FA" w:rsidRDefault="00FE53FA">
      <w:pPr>
        <w:spacing w:after="0"/>
      </w:pPr>
    </w:p>
    <w:p w14:paraId="08D5CA05" w14:textId="77777777" w:rsidR="00FE53FA" w:rsidRDefault="00976ABD">
      <w:pPr>
        <w:spacing w:line="240" w:lineRule="auto"/>
        <w:jc w:val="both"/>
      </w:pPr>
      <w:r>
        <w:t xml:space="preserve">Na ostalim prihodima iskazani su prihodi od izdavanja duplikata svjedodžbi. U 2024. godini tu smo zabilježili i prihod od naplate zadužnice poduzeća </w:t>
      </w:r>
      <w:proofErr w:type="spellStart"/>
      <w:r>
        <w:t>Fusio</w:t>
      </w:r>
      <w:proofErr w:type="spellEnd"/>
      <w:r>
        <w:t xml:space="preserve"> d.o.o., zbog neispunjenja ugovornih obveza u okviru </w:t>
      </w:r>
      <w:r>
        <w:t xml:space="preserve">projekta RCK </w:t>
      </w:r>
      <w:proofErr w:type="spellStart"/>
      <w:r>
        <w:t>VirtuOs</w:t>
      </w:r>
      <w:proofErr w:type="spellEnd"/>
      <w:r>
        <w:t>.</w:t>
      </w:r>
    </w:p>
    <w:p w14:paraId="0CB3CE07" w14:textId="77777777" w:rsidR="00FE53FA" w:rsidRDefault="00FE53FA"/>
    <w:p w14:paraId="68F39C76" w14:textId="77777777" w:rsidR="00FE53FA" w:rsidRDefault="00976ABD">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27FB1E4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4C6445D"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5399A66"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E50323"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B62583"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7C9FD96"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124C05" w14:textId="77777777" w:rsidR="00FE53FA" w:rsidRDefault="00976ABD">
            <w:pPr>
              <w:keepNext/>
              <w:keepLines/>
              <w:spacing w:after="0" w:line="240" w:lineRule="auto"/>
              <w:jc w:val="center"/>
            </w:pPr>
            <w:r>
              <w:rPr>
                <w:b/>
                <w:sz w:val="18"/>
              </w:rPr>
              <w:t>Indeks (%)</w:t>
            </w:r>
          </w:p>
        </w:tc>
      </w:tr>
      <w:tr w:rsidR="00FE53FA" w14:paraId="56461612" w14:textId="77777777">
        <w:tblPrEx>
          <w:tblCellMar>
            <w:top w:w="0" w:type="dxa"/>
            <w:bottom w:w="0" w:type="dxa"/>
          </w:tblCellMar>
        </w:tblPrEx>
        <w:trPr>
          <w:cantSplit/>
          <w:trHeight w:val="560"/>
        </w:trPr>
        <w:tc>
          <w:tcPr>
            <w:tcW w:w="700" w:type="dxa"/>
            <w:tcMar>
              <w:top w:w="0" w:type="dxa"/>
              <w:bottom w:w="0" w:type="dxa"/>
            </w:tcMar>
            <w:vAlign w:val="center"/>
          </w:tcPr>
          <w:p w14:paraId="67C5680D" w14:textId="77777777" w:rsidR="00FE53FA" w:rsidRDefault="00976ABD">
            <w:pPr>
              <w:keepNext/>
              <w:keepLines/>
              <w:spacing w:after="0" w:line="240" w:lineRule="auto"/>
            </w:pPr>
            <w:r>
              <w:rPr>
                <w:sz w:val="18"/>
              </w:rPr>
              <w:t>31</w:t>
            </w:r>
          </w:p>
        </w:tc>
        <w:tc>
          <w:tcPr>
            <w:tcW w:w="3180" w:type="dxa"/>
            <w:tcMar>
              <w:top w:w="0" w:type="dxa"/>
              <w:bottom w:w="0" w:type="dxa"/>
            </w:tcMar>
            <w:vAlign w:val="center"/>
          </w:tcPr>
          <w:p w14:paraId="1B35A7E5" w14:textId="77777777" w:rsidR="00FE53FA" w:rsidRDefault="00976ABD">
            <w:pPr>
              <w:keepNext/>
              <w:keepLines/>
              <w:spacing w:after="0" w:line="240" w:lineRule="auto"/>
            </w:pPr>
            <w:r>
              <w:rPr>
                <w:sz w:val="18"/>
              </w:rPr>
              <w:t>Rashodi za zaposlene (šifre 311+312+313)</w:t>
            </w:r>
          </w:p>
        </w:tc>
        <w:tc>
          <w:tcPr>
            <w:tcW w:w="700" w:type="dxa"/>
            <w:tcMar>
              <w:top w:w="0" w:type="dxa"/>
              <w:bottom w:w="0" w:type="dxa"/>
            </w:tcMar>
            <w:vAlign w:val="center"/>
          </w:tcPr>
          <w:p w14:paraId="7476C89E" w14:textId="77777777" w:rsidR="00FE53FA" w:rsidRDefault="00976ABD">
            <w:pPr>
              <w:keepNext/>
              <w:keepLines/>
              <w:spacing w:after="0" w:line="240" w:lineRule="auto"/>
            </w:pPr>
            <w:r>
              <w:rPr>
                <w:sz w:val="18"/>
              </w:rPr>
              <w:t>31</w:t>
            </w:r>
          </w:p>
        </w:tc>
        <w:tc>
          <w:tcPr>
            <w:tcW w:w="1860" w:type="dxa"/>
            <w:tcMar>
              <w:top w:w="0" w:type="dxa"/>
              <w:bottom w:w="0" w:type="dxa"/>
            </w:tcMar>
            <w:vAlign w:val="center"/>
          </w:tcPr>
          <w:p w14:paraId="0BFB39BB" w14:textId="77777777" w:rsidR="00FE53FA" w:rsidRDefault="00976ABD">
            <w:pPr>
              <w:keepNext/>
              <w:keepLines/>
              <w:spacing w:after="0" w:line="240" w:lineRule="auto"/>
              <w:jc w:val="right"/>
            </w:pPr>
            <w:r>
              <w:rPr>
                <w:sz w:val="18"/>
              </w:rPr>
              <w:t>1.192.121,56</w:t>
            </w:r>
          </w:p>
        </w:tc>
        <w:tc>
          <w:tcPr>
            <w:tcW w:w="1860" w:type="dxa"/>
            <w:tcMar>
              <w:top w:w="0" w:type="dxa"/>
              <w:bottom w:w="0" w:type="dxa"/>
            </w:tcMar>
            <w:vAlign w:val="center"/>
          </w:tcPr>
          <w:p w14:paraId="3FE276CD" w14:textId="77777777" w:rsidR="00FE53FA" w:rsidRDefault="00976ABD">
            <w:pPr>
              <w:keepNext/>
              <w:keepLines/>
              <w:spacing w:after="0" w:line="240" w:lineRule="auto"/>
              <w:jc w:val="right"/>
            </w:pPr>
            <w:r>
              <w:rPr>
                <w:sz w:val="18"/>
              </w:rPr>
              <w:t>1.483.146,29</w:t>
            </w:r>
          </w:p>
        </w:tc>
        <w:tc>
          <w:tcPr>
            <w:tcW w:w="700" w:type="dxa"/>
            <w:tcMar>
              <w:top w:w="0" w:type="dxa"/>
              <w:bottom w:w="0" w:type="dxa"/>
            </w:tcMar>
            <w:vAlign w:val="center"/>
          </w:tcPr>
          <w:p w14:paraId="6DF47554" w14:textId="77777777" w:rsidR="00FE53FA" w:rsidRDefault="00976ABD">
            <w:pPr>
              <w:keepNext/>
              <w:keepLines/>
              <w:spacing w:after="0" w:line="240" w:lineRule="auto"/>
              <w:jc w:val="right"/>
            </w:pPr>
            <w:r>
              <w:rPr>
                <w:sz w:val="18"/>
              </w:rPr>
              <w:t>124,4</w:t>
            </w:r>
          </w:p>
        </w:tc>
      </w:tr>
    </w:tbl>
    <w:p w14:paraId="59C9826F" w14:textId="77777777" w:rsidR="00FE53FA" w:rsidRDefault="00FE53FA">
      <w:pPr>
        <w:spacing w:after="0"/>
      </w:pPr>
    </w:p>
    <w:p w14:paraId="229DCA9F" w14:textId="77777777" w:rsidR="00FE53FA" w:rsidRDefault="00976ABD">
      <w:pPr>
        <w:spacing w:line="240" w:lineRule="auto"/>
        <w:jc w:val="both"/>
      </w:pPr>
      <w:r>
        <w:t xml:space="preserve">Rashodi za zaposlene veći su u odnosu na prethodnu godinu za 24,4%. Naime, od 01. siječnja 2025. godine, prema novom Pravilniku o proračunskom računovodstvu, ukinuta je podskupina 193 - kontinuirani rashodi. Tako je u </w:t>
      </w:r>
      <w:r>
        <w:t>2025. godini na troškovima vidljiva plaća za lipanj, a u 2024.godini isti trošak vidljiv  je tek u mjesecu srpnju. Također, od 01. veljače 2025. godini ostvareno je povećanje osnovice za obračun plaća u javnim službama, pa je i to jedan od razloga povećanja rashoda.</w:t>
      </w:r>
    </w:p>
    <w:p w14:paraId="1A72F7A0" w14:textId="77777777" w:rsidR="00FE53FA" w:rsidRDefault="00FE53FA"/>
    <w:p w14:paraId="47928200" w14:textId="77777777" w:rsidR="00FE53FA" w:rsidRDefault="00976ABD">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43FC44F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A9221C6"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32698B9"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BDCB58"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E2EDC84"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CE7CDC"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98D3A6" w14:textId="77777777" w:rsidR="00FE53FA" w:rsidRDefault="00976ABD">
            <w:pPr>
              <w:keepNext/>
              <w:keepLines/>
              <w:spacing w:after="0" w:line="240" w:lineRule="auto"/>
              <w:jc w:val="center"/>
            </w:pPr>
            <w:r>
              <w:rPr>
                <w:b/>
                <w:sz w:val="18"/>
              </w:rPr>
              <w:t>Indeks (%)</w:t>
            </w:r>
          </w:p>
        </w:tc>
      </w:tr>
      <w:tr w:rsidR="00FE53FA" w14:paraId="1018955B" w14:textId="77777777">
        <w:tblPrEx>
          <w:tblCellMar>
            <w:top w:w="0" w:type="dxa"/>
            <w:bottom w:w="0" w:type="dxa"/>
          </w:tblCellMar>
        </w:tblPrEx>
        <w:trPr>
          <w:cantSplit/>
          <w:trHeight w:val="560"/>
        </w:trPr>
        <w:tc>
          <w:tcPr>
            <w:tcW w:w="700" w:type="dxa"/>
            <w:tcMar>
              <w:top w:w="0" w:type="dxa"/>
              <w:bottom w:w="0" w:type="dxa"/>
            </w:tcMar>
            <w:vAlign w:val="center"/>
          </w:tcPr>
          <w:p w14:paraId="3FEECABD" w14:textId="77777777" w:rsidR="00FE53FA" w:rsidRDefault="00976ABD">
            <w:pPr>
              <w:keepNext/>
              <w:keepLines/>
              <w:spacing w:after="0" w:line="240" w:lineRule="auto"/>
            </w:pPr>
            <w:r>
              <w:rPr>
                <w:sz w:val="18"/>
              </w:rPr>
              <w:t>3232</w:t>
            </w:r>
          </w:p>
        </w:tc>
        <w:tc>
          <w:tcPr>
            <w:tcW w:w="3180" w:type="dxa"/>
            <w:tcMar>
              <w:top w:w="0" w:type="dxa"/>
              <w:bottom w:w="0" w:type="dxa"/>
            </w:tcMar>
            <w:vAlign w:val="center"/>
          </w:tcPr>
          <w:p w14:paraId="46E49D09" w14:textId="77777777" w:rsidR="00FE53FA" w:rsidRDefault="00976ABD">
            <w:pPr>
              <w:keepNext/>
              <w:keepLines/>
              <w:spacing w:after="0" w:line="240" w:lineRule="auto"/>
            </w:pPr>
            <w:r>
              <w:rPr>
                <w:sz w:val="18"/>
              </w:rPr>
              <w:t>Usluge tekućeg i investicijskog održavanja</w:t>
            </w:r>
          </w:p>
        </w:tc>
        <w:tc>
          <w:tcPr>
            <w:tcW w:w="700" w:type="dxa"/>
            <w:tcMar>
              <w:top w:w="0" w:type="dxa"/>
              <w:bottom w:w="0" w:type="dxa"/>
            </w:tcMar>
            <w:vAlign w:val="center"/>
          </w:tcPr>
          <w:p w14:paraId="4B693D15" w14:textId="77777777" w:rsidR="00FE53FA" w:rsidRDefault="00976ABD">
            <w:pPr>
              <w:keepNext/>
              <w:keepLines/>
              <w:spacing w:after="0" w:line="240" w:lineRule="auto"/>
            </w:pPr>
            <w:r>
              <w:rPr>
                <w:sz w:val="18"/>
              </w:rPr>
              <w:t>3232</w:t>
            </w:r>
          </w:p>
        </w:tc>
        <w:tc>
          <w:tcPr>
            <w:tcW w:w="1860" w:type="dxa"/>
            <w:tcMar>
              <w:top w:w="0" w:type="dxa"/>
              <w:bottom w:w="0" w:type="dxa"/>
            </w:tcMar>
            <w:vAlign w:val="center"/>
          </w:tcPr>
          <w:p w14:paraId="1F592E2A" w14:textId="77777777" w:rsidR="00FE53FA" w:rsidRDefault="00976ABD">
            <w:pPr>
              <w:keepNext/>
              <w:keepLines/>
              <w:spacing w:after="0" w:line="240" w:lineRule="auto"/>
              <w:jc w:val="right"/>
            </w:pPr>
            <w:r>
              <w:rPr>
                <w:sz w:val="18"/>
              </w:rPr>
              <w:t>14.206,54</w:t>
            </w:r>
          </w:p>
        </w:tc>
        <w:tc>
          <w:tcPr>
            <w:tcW w:w="1860" w:type="dxa"/>
            <w:tcMar>
              <w:top w:w="0" w:type="dxa"/>
              <w:bottom w:w="0" w:type="dxa"/>
            </w:tcMar>
            <w:vAlign w:val="center"/>
          </w:tcPr>
          <w:p w14:paraId="3B4CCB70" w14:textId="77777777" w:rsidR="00FE53FA" w:rsidRDefault="00976ABD">
            <w:pPr>
              <w:keepNext/>
              <w:keepLines/>
              <w:spacing w:after="0" w:line="240" w:lineRule="auto"/>
              <w:jc w:val="right"/>
            </w:pPr>
            <w:r>
              <w:rPr>
                <w:sz w:val="18"/>
              </w:rPr>
              <w:t>25.782,53</w:t>
            </w:r>
          </w:p>
        </w:tc>
        <w:tc>
          <w:tcPr>
            <w:tcW w:w="700" w:type="dxa"/>
            <w:tcMar>
              <w:top w:w="0" w:type="dxa"/>
              <w:bottom w:w="0" w:type="dxa"/>
            </w:tcMar>
            <w:vAlign w:val="center"/>
          </w:tcPr>
          <w:p w14:paraId="0C255AC9" w14:textId="77777777" w:rsidR="00FE53FA" w:rsidRDefault="00976ABD">
            <w:pPr>
              <w:keepNext/>
              <w:keepLines/>
              <w:spacing w:after="0" w:line="240" w:lineRule="auto"/>
              <w:jc w:val="right"/>
            </w:pPr>
            <w:r>
              <w:rPr>
                <w:sz w:val="18"/>
              </w:rPr>
              <w:t>181,5</w:t>
            </w:r>
          </w:p>
        </w:tc>
      </w:tr>
    </w:tbl>
    <w:p w14:paraId="1A2690B6" w14:textId="77777777" w:rsidR="00FE53FA" w:rsidRDefault="00FE53FA">
      <w:pPr>
        <w:spacing w:after="0"/>
      </w:pPr>
    </w:p>
    <w:p w14:paraId="548A68FD" w14:textId="77777777" w:rsidR="00FE53FA" w:rsidRDefault="00976ABD">
      <w:pPr>
        <w:spacing w:line="240" w:lineRule="auto"/>
        <w:jc w:val="both"/>
      </w:pPr>
      <w:r>
        <w:t>Rashod je veći za 81,5 % u odnosu na prethodnu godinu. Razlog tome je nužna potreba servisa klimatizacijskih sustava u zgradama škole, dvorane i učeničkog doma u ukupnom iznosu od 12.097,50 eura.</w:t>
      </w:r>
    </w:p>
    <w:p w14:paraId="5CEA87B4" w14:textId="77777777" w:rsidR="00FE53FA" w:rsidRDefault="00FE53FA"/>
    <w:p w14:paraId="2C64DD68" w14:textId="77777777" w:rsidR="00FE53FA" w:rsidRDefault="00976ABD">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759E2F3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48EB087"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1170B66"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C1D3886"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0E38CF"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4A625A7"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4FF6A4F" w14:textId="77777777" w:rsidR="00FE53FA" w:rsidRDefault="00976ABD">
            <w:pPr>
              <w:keepNext/>
              <w:keepLines/>
              <w:spacing w:after="0" w:line="240" w:lineRule="auto"/>
              <w:jc w:val="center"/>
            </w:pPr>
            <w:r>
              <w:rPr>
                <w:b/>
                <w:sz w:val="18"/>
              </w:rPr>
              <w:t>Indeks (%)</w:t>
            </w:r>
          </w:p>
        </w:tc>
      </w:tr>
      <w:tr w:rsidR="00FE53FA" w14:paraId="61365654" w14:textId="77777777">
        <w:tblPrEx>
          <w:tblCellMar>
            <w:top w:w="0" w:type="dxa"/>
            <w:bottom w:w="0" w:type="dxa"/>
          </w:tblCellMar>
        </w:tblPrEx>
        <w:trPr>
          <w:cantSplit/>
          <w:trHeight w:val="560"/>
        </w:trPr>
        <w:tc>
          <w:tcPr>
            <w:tcW w:w="700" w:type="dxa"/>
            <w:tcMar>
              <w:top w:w="0" w:type="dxa"/>
              <w:bottom w:w="0" w:type="dxa"/>
            </w:tcMar>
            <w:vAlign w:val="center"/>
          </w:tcPr>
          <w:p w14:paraId="50872F7F" w14:textId="77777777" w:rsidR="00FE53FA" w:rsidRDefault="00976ABD">
            <w:pPr>
              <w:keepNext/>
              <w:keepLines/>
              <w:spacing w:after="0" w:line="240" w:lineRule="auto"/>
            </w:pPr>
            <w:r>
              <w:rPr>
                <w:sz w:val="18"/>
              </w:rPr>
              <w:t>3292</w:t>
            </w:r>
          </w:p>
        </w:tc>
        <w:tc>
          <w:tcPr>
            <w:tcW w:w="3180" w:type="dxa"/>
            <w:tcMar>
              <w:top w:w="0" w:type="dxa"/>
              <w:bottom w:w="0" w:type="dxa"/>
            </w:tcMar>
            <w:vAlign w:val="center"/>
          </w:tcPr>
          <w:p w14:paraId="6D35EA2F" w14:textId="77777777" w:rsidR="00FE53FA" w:rsidRDefault="00976ABD">
            <w:pPr>
              <w:keepNext/>
              <w:keepLines/>
              <w:spacing w:after="0" w:line="240" w:lineRule="auto"/>
            </w:pPr>
            <w:r>
              <w:rPr>
                <w:sz w:val="18"/>
              </w:rPr>
              <w:t>Premije osiguranja</w:t>
            </w:r>
          </w:p>
        </w:tc>
        <w:tc>
          <w:tcPr>
            <w:tcW w:w="700" w:type="dxa"/>
            <w:tcMar>
              <w:top w:w="0" w:type="dxa"/>
              <w:bottom w:w="0" w:type="dxa"/>
            </w:tcMar>
            <w:vAlign w:val="center"/>
          </w:tcPr>
          <w:p w14:paraId="4865FF1D" w14:textId="77777777" w:rsidR="00FE53FA" w:rsidRDefault="00976ABD">
            <w:pPr>
              <w:keepNext/>
              <w:keepLines/>
              <w:spacing w:after="0" w:line="240" w:lineRule="auto"/>
            </w:pPr>
            <w:r>
              <w:rPr>
                <w:sz w:val="18"/>
              </w:rPr>
              <w:t>3292</w:t>
            </w:r>
          </w:p>
        </w:tc>
        <w:tc>
          <w:tcPr>
            <w:tcW w:w="1860" w:type="dxa"/>
            <w:tcMar>
              <w:top w:w="0" w:type="dxa"/>
              <w:bottom w:w="0" w:type="dxa"/>
            </w:tcMar>
            <w:vAlign w:val="center"/>
          </w:tcPr>
          <w:p w14:paraId="0BF8E710" w14:textId="77777777" w:rsidR="00FE53FA" w:rsidRDefault="00976ABD">
            <w:pPr>
              <w:keepNext/>
              <w:keepLines/>
              <w:spacing w:after="0" w:line="240" w:lineRule="auto"/>
              <w:jc w:val="right"/>
            </w:pPr>
            <w:r>
              <w:rPr>
                <w:sz w:val="18"/>
              </w:rPr>
              <w:t>782,47</w:t>
            </w:r>
          </w:p>
        </w:tc>
        <w:tc>
          <w:tcPr>
            <w:tcW w:w="1860" w:type="dxa"/>
            <w:tcMar>
              <w:top w:w="0" w:type="dxa"/>
              <w:bottom w:w="0" w:type="dxa"/>
            </w:tcMar>
            <w:vAlign w:val="center"/>
          </w:tcPr>
          <w:p w14:paraId="66C4F706" w14:textId="77777777" w:rsidR="00FE53FA" w:rsidRDefault="00976ABD">
            <w:pPr>
              <w:keepNext/>
              <w:keepLines/>
              <w:spacing w:after="0" w:line="240" w:lineRule="auto"/>
              <w:jc w:val="right"/>
            </w:pPr>
            <w:r>
              <w:rPr>
                <w:sz w:val="18"/>
              </w:rPr>
              <w:t>1.793,14</w:t>
            </w:r>
          </w:p>
        </w:tc>
        <w:tc>
          <w:tcPr>
            <w:tcW w:w="700" w:type="dxa"/>
            <w:tcMar>
              <w:top w:w="0" w:type="dxa"/>
              <w:bottom w:w="0" w:type="dxa"/>
            </w:tcMar>
            <w:vAlign w:val="center"/>
          </w:tcPr>
          <w:p w14:paraId="2D459372" w14:textId="77777777" w:rsidR="00FE53FA" w:rsidRDefault="00976ABD">
            <w:pPr>
              <w:keepNext/>
              <w:keepLines/>
              <w:spacing w:after="0" w:line="240" w:lineRule="auto"/>
              <w:jc w:val="right"/>
            </w:pPr>
            <w:r>
              <w:rPr>
                <w:sz w:val="18"/>
              </w:rPr>
              <w:t>229,2</w:t>
            </w:r>
          </w:p>
        </w:tc>
      </w:tr>
    </w:tbl>
    <w:p w14:paraId="7C9AAD27" w14:textId="77777777" w:rsidR="00FE53FA" w:rsidRDefault="00FE53FA">
      <w:pPr>
        <w:spacing w:after="0"/>
      </w:pPr>
    </w:p>
    <w:p w14:paraId="54F1ACCC" w14:textId="77777777" w:rsidR="00FE53FA" w:rsidRDefault="00976ABD">
      <w:pPr>
        <w:spacing w:line="240" w:lineRule="auto"/>
        <w:jc w:val="both"/>
      </w:pPr>
      <w:r>
        <w:lastRenderedPageBreak/>
        <w:t xml:space="preserve">Rashod je veći u 2025.godini zbog nabave novog osobnog automobila za potrebe </w:t>
      </w:r>
      <w:r>
        <w:t>škole. Dakle, radi se o osnovnom i kasko osiguranju novog vozila u vlasništvu škole.</w:t>
      </w:r>
    </w:p>
    <w:p w14:paraId="567F0339" w14:textId="77777777" w:rsidR="00FE53FA" w:rsidRDefault="00FE53FA"/>
    <w:p w14:paraId="61AB77DF" w14:textId="77777777" w:rsidR="00FE53FA" w:rsidRDefault="00976ABD">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0DB704A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22A1DF"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DA8A527"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9D4AB65"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C046FC"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1703724"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9005B30" w14:textId="77777777" w:rsidR="00FE53FA" w:rsidRDefault="00976ABD">
            <w:pPr>
              <w:keepNext/>
              <w:keepLines/>
              <w:spacing w:after="0" w:line="240" w:lineRule="auto"/>
              <w:jc w:val="center"/>
            </w:pPr>
            <w:r>
              <w:rPr>
                <w:b/>
                <w:sz w:val="18"/>
              </w:rPr>
              <w:t>Indeks (%)</w:t>
            </w:r>
          </w:p>
        </w:tc>
      </w:tr>
      <w:tr w:rsidR="00FE53FA" w14:paraId="40DF0774" w14:textId="77777777">
        <w:tblPrEx>
          <w:tblCellMar>
            <w:top w:w="0" w:type="dxa"/>
            <w:bottom w:w="0" w:type="dxa"/>
          </w:tblCellMar>
        </w:tblPrEx>
        <w:trPr>
          <w:cantSplit/>
          <w:trHeight w:val="560"/>
        </w:trPr>
        <w:tc>
          <w:tcPr>
            <w:tcW w:w="700" w:type="dxa"/>
            <w:tcMar>
              <w:top w:w="0" w:type="dxa"/>
              <w:bottom w:w="0" w:type="dxa"/>
            </w:tcMar>
            <w:vAlign w:val="center"/>
          </w:tcPr>
          <w:p w14:paraId="41392CD7" w14:textId="77777777" w:rsidR="00FE53FA" w:rsidRDefault="00976ABD">
            <w:pPr>
              <w:keepNext/>
              <w:keepLines/>
              <w:spacing w:after="0" w:line="240" w:lineRule="auto"/>
            </w:pPr>
            <w:r>
              <w:rPr>
                <w:sz w:val="18"/>
              </w:rPr>
              <w:t>4</w:t>
            </w:r>
          </w:p>
        </w:tc>
        <w:tc>
          <w:tcPr>
            <w:tcW w:w="3180" w:type="dxa"/>
            <w:tcMar>
              <w:top w:w="0" w:type="dxa"/>
              <w:bottom w:w="0" w:type="dxa"/>
            </w:tcMar>
            <w:vAlign w:val="center"/>
          </w:tcPr>
          <w:p w14:paraId="497A0F38" w14:textId="77777777" w:rsidR="00FE53FA" w:rsidRDefault="00976ABD">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AA6AC63" w14:textId="77777777" w:rsidR="00FE53FA" w:rsidRDefault="00976ABD">
            <w:pPr>
              <w:keepNext/>
              <w:keepLines/>
              <w:spacing w:after="0" w:line="240" w:lineRule="auto"/>
            </w:pPr>
            <w:r>
              <w:rPr>
                <w:sz w:val="18"/>
              </w:rPr>
              <w:t>4</w:t>
            </w:r>
          </w:p>
        </w:tc>
        <w:tc>
          <w:tcPr>
            <w:tcW w:w="1860" w:type="dxa"/>
            <w:tcMar>
              <w:top w:w="0" w:type="dxa"/>
              <w:bottom w:w="0" w:type="dxa"/>
            </w:tcMar>
            <w:vAlign w:val="center"/>
          </w:tcPr>
          <w:p w14:paraId="17303207" w14:textId="77777777" w:rsidR="00FE53FA" w:rsidRDefault="00976ABD">
            <w:pPr>
              <w:keepNext/>
              <w:keepLines/>
              <w:spacing w:after="0" w:line="240" w:lineRule="auto"/>
              <w:jc w:val="right"/>
            </w:pPr>
            <w:r>
              <w:rPr>
                <w:sz w:val="18"/>
              </w:rPr>
              <w:t>1.988,05</w:t>
            </w:r>
          </w:p>
        </w:tc>
        <w:tc>
          <w:tcPr>
            <w:tcW w:w="1860" w:type="dxa"/>
            <w:tcMar>
              <w:top w:w="0" w:type="dxa"/>
              <w:bottom w:w="0" w:type="dxa"/>
            </w:tcMar>
            <w:vAlign w:val="center"/>
          </w:tcPr>
          <w:p w14:paraId="2EFBE4C6" w14:textId="77777777" w:rsidR="00FE53FA" w:rsidRDefault="00976ABD">
            <w:pPr>
              <w:keepNext/>
              <w:keepLines/>
              <w:spacing w:after="0" w:line="240" w:lineRule="auto"/>
              <w:jc w:val="right"/>
            </w:pPr>
            <w:r>
              <w:rPr>
                <w:sz w:val="18"/>
              </w:rPr>
              <w:t>7.741,11</w:t>
            </w:r>
          </w:p>
        </w:tc>
        <w:tc>
          <w:tcPr>
            <w:tcW w:w="700" w:type="dxa"/>
            <w:tcMar>
              <w:top w:w="0" w:type="dxa"/>
              <w:bottom w:w="0" w:type="dxa"/>
            </w:tcMar>
            <w:vAlign w:val="center"/>
          </w:tcPr>
          <w:p w14:paraId="10845C8B" w14:textId="77777777" w:rsidR="00FE53FA" w:rsidRDefault="00976ABD">
            <w:pPr>
              <w:keepNext/>
              <w:keepLines/>
              <w:spacing w:after="0" w:line="240" w:lineRule="auto"/>
              <w:jc w:val="right"/>
            </w:pPr>
            <w:r>
              <w:rPr>
                <w:sz w:val="18"/>
              </w:rPr>
              <w:t>389,4</w:t>
            </w:r>
          </w:p>
        </w:tc>
      </w:tr>
    </w:tbl>
    <w:p w14:paraId="472DC781" w14:textId="77777777" w:rsidR="00FE53FA" w:rsidRDefault="00FE53FA">
      <w:pPr>
        <w:spacing w:after="0"/>
      </w:pPr>
    </w:p>
    <w:p w14:paraId="424B7BF3" w14:textId="77777777" w:rsidR="00FE53FA" w:rsidRDefault="00976ABD">
      <w:pPr>
        <w:spacing w:line="240" w:lineRule="auto"/>
        <w:jc w:val="both"/>
      </w:pPr>
      <w:r>
        <w:t xml:space="preserve">Rashod je veći u odnosu na prethodnu godinu, zbog nabave opreme u okviru projekata koje financira Ministarstvo znanosti, obrazovanja i mladih, te </w:t>
      </w:r>
      <w:r>
        <w:t>Ministarstvo turizma i sporta.</w:t>
      </w:r>
    </w:p>
    <w:p w14:paraId="64DEFC2E" w14:textId="77777777" w:rsidR="00FE53FA" w:rsidRDefault="00FE53FA"/>
    <w:p w14:paraId="597D67EC" w14:textId="77777777" w:rsidR="00FE53FA" w:rsidRDefault="00976ABD">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E53FA" w14:paraId="26B997D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B08A233"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54353B8"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2EFA7D7"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F06AF76" w14:textId="77777777" w:rsidR="00FE53FA" w:rsidRDefault="00976ABD">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85F8DE" w14:textId="77777777" w:rsidR="00FE53FA" w:rsidRDefault="00976ABD">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4A91C90" w14:textId="77777777" w:rsidR="00FE53FA" w:rsidRDefault="00976ABD">
            <w:pPr>
              <w:keepNext/>
              <w:keepLines/>
              <w:spacing w:after="0" w:line="240" w:lineRule="auto"/>
              <w:jc w:val="center"/>
            </w:pPr>
            <w:r>
              <w:rPr>
                <w:b/>
                <w:sz w:val="18"/>
              </w:rPr>
              <w:t>Indeks (%)</w:t>
            </w:r>
          </w:p>
        </w:tc>
      </w:tr>
      <w:tr w:rsidR="00FE53FA" w14:paraId="0955EB24" w14:textId="77777777">
        <w:tblPrEx>
          <w:tblCellMar>
            <w:top w:w="0" w:type="dxa"/>
            <w:bottom w:w="0" w:type="dxa"/>
          </w:tblCellMar>
        </w:tblPrEx>
        <w:trPr>
          <w:cantSplit/>
          <w:trHeight w:val="560"/>
        </w:trPr>
        <w:tc>
          <w:tcPr>
            <w:tcW w:w="700" w:type="dxa"/>
            <w:tcMar>
              <w:top w:w="0" w:type="dxa"/>
              <w:bottom w:w="0" w:type="dxa"/>
            </w:tcMar>
            <w:vAlign w:val="center"/>
          </w:tcPr>
          <w:p w14:paraId="39027FDA" w14:textId="77777777" w:rsidR="00FE53FA" w:rsidRDefault="00FE53FA">
            <w:pPr>
              <w:keepNext/>
              <w:keepLines/>
              <w:spacing w:after="0" w:line="240" w:lineRule="auto"/>
            </w:pPr>
          </w:p>
        </w:tc>
        <w:tc>
          <w:tcPr>
            <w:tcW w:w="3180" w:type="dxa"/>
            <w:tcMar>
              <w:top w:w="0" w:type="dxa"/>
              <w:bottom w:w="0" w:type="dxa"/>
            </w:tcMar>
            <w:vAlign w:val="center"/>
          </w:tcPr>
          <w:p w14:paraId="2FEF8DE3" w14:textId="77777777" w:rsidR="00FE53FA" w:rsidRDefault="00976ABD">
            <w:pPr>
              <w:keepNext/>
              <w:keepLines/>
              <w:spacing w:after="0" w:line="240" w:lineRule="auto"/>
            </w:pPr>
            <w:r>
              <w:rPr>
                <w:sz w:val="18"/>
              </w:rPr>
              <w:t>MANJAK PRIHODA I PRIMITAKA (šifre Y345-X678)</w:t>
            </w:r>
          </w:p>
        </w:tc>
        <w:tc>
          <w:tcPr>
            <w:tcW w:w="700" w:type="dxa"/>
            <w:tcMar>
              <w:top w:w="0" w:type="dxa"/>
              <w:bottom w:w="0" w:type="dxa"/>
            </w:tcMar>
            <w:vAlign w:val="center"/>
          </w:tcPr>
          <w:p w14:paraId="14230014" w14:textId="77777777" w:rsidR="00FE53FA" w:rsidRDefault="00976ABD">
            <w:pPr>
              <w:keepNext/>
              <w:keepLines/>
              <w:spacing w:after="0" w:line="240" w:lineRule="auto"/>
            </w:pPr>
            <w:r>
              <w:rPr>
                <w:sz w:val="18"/>
              </w:rPr>
              <w:t>Y005</w:t>
            </w:r>
          </w:p>
        </w:tc>
        <w:tc>
          <w:tcPr>
            <w:tcW w:w="1860" w:type="dxa"/>
            <w:tcMar>
              <w:top w:w="0" w:type="dxa"/>
              <w:bottom w:w="0" w:type="dxa"/>
            </w:tcMar>
            <w:vAlign w:val="center"/>
          </w:tcPr>
          <w:p w14:paraId="1DC6C51A" w14:textId="77777777" w:rsidR="00FE53FA" w:rsidRDefault="00976ABD">
            <w:pPr>
              <w:keepNext/>
              <w:keepLines/>
              <w:spacing w:after="0" w:line="240" w:lineRule="auto"/>
              <w:jc w:val="right"/>
            </w:pPr>
            <w:r>
              <w:rPr>
                <w:sz w:val="18"/>
              </w:rPr>
              <w:t>0,00</w:t>
            </w:r>
          </w:p>
        </w:tc>
        <w:tc>
          <w:tcPr>
            <w:tcW w:w="1860" w:type="dxa"/>
            <w:tcMar>
              <w:top w:w="0" w:type="dxa"/>
              <w:bottom w:w="0" w:type="dxa"/>
            </w:tcMar>
            <w:vAlign w:val="center"/>
          </w:tcPr>
          <w:p w14:paraId="6D843502" w14:textId="77777777" w:rsidR="00FE53FA" w:rsidRDefault="00976ABD">
            <w:pPr>
              <w:keepNext/>
              <w:keepLines/>
              <w:spacing w:after="0" w:line="240" w:lineRule="auto"/>
              <w:jc w:val="right"/>
            </w:pPr>
            <w:r>
              <w:rPr>
                <w:sz w:val="18"/>
              </w:rPr>
              <w:t>213.436,41</w:t>
            </w:r>
          </w:p>
        </w:tc>
        <w:tc>
          <w:tcPr>
            <w:tcW w:w="700" w:type="dxa"/>
            <w:tcMar>
              <w:top w:w="0" w:type="dxa"/>
              <w:bottom w:w="0" w:type="dxa"/>
            </w:tcMar>
            <w:vAlign w:val="center"/>
          </w:tcPr>
          <w:p w14:paraId="03F28145" w14:textId="77777777" w:rsidR="00FE53FA" w:rsidRDefault="00976ABD">
            <w:pPr>
              <w:keepNext/>
              <w:keepLines/>
              <w:spacing w:after="0" w:line="240" w:lineRule="auto"/>
              <w:jc w:val="right"/>
            </w:pPr>
            <w:r>
              <w:rPr>
                <w:sz w:val="18"/>
              </w:rPr>
              <w:t>-</w:t>
            </w:r>
          </w:p>
        </w:tc>
      </w:tr>
    </w:tbl>
    <w:p w14:paraId="402A8AF6" w14:textId="77777777" w:rsidR="00FE53FA" w:rsidRDefault="00FE53FA">
      <w:pPr>
        <w:spacing w:after="0"/>
      </w:pPr>
    </w:p>
    <w:p w14:paraId="3B21D2C3" w14:textId="77777777" w:rsidR="00FE53FA" w:rsidRDefault="00976ABD">
      <w:pPr>
        <w:spacing w:line="240" w:lineRule="auto"/>
        <w:jc w:val="both"/>
      </w:pPr>
      <w:r>
        <w:t xml:space="preserve">Na manjak prihoda najvećim dijelom utjecali su rashodi za zaposlene. Naime, prema novom Pravilniku o proračunskom računovodstvu, koji je stupio na snagu 01. siječnja 2025.godine, ukinuta je podskupine 193  - kontinuirani rashodi. </w:t>
      </w:r>
      <w:r>
        <w:t>Pravilnik propisuje da rashod za pomoći unutar općeg proračuna nastaje u trenutku nastanka obveze. Tako smo na rashodovnoj strani evidentirali sedam rashoda za plaće (prosinac 2024. g. do lipanj 2025. g.), dok na prihodovnoj strani imamo šest prihoda za plaće (prosinac 2024. g. do svibanj 2025. g.).  Manjim dijelom na manjak prihoda utjecalo je povećanje materijalnih rashoda, posebno rashoda za usluge (npr. nužna potreba servisiranja klimatizacijskog sustava u zgradama doma, škole te školske dvorane).</w:t>
      </w:r>
    </w:p>
    <w:p w14:paraId="1B9F630D" w14:textId="77777777" w:rsidR="00FE53FA" w:rsidRDefault="00FE53FA"/>
    <w:p w14:paraId="4CA7A5E4" w14:textId="77777777" w:rsidR="00FE53FA" w:rsidRDefault="00976ABD">
      <w:pPr>
        <w:keepNext/>
        <w:spacing w:line="240" w:lineRule="auto"/>
        <w:jc w:val="center"/>
      </w:pPr>
      <w:r>
        <w:rPr>
          <w:b/>
          <w:sz w:val="28"/>
        </w:rPr>
        <w:t>Izvještaj o obvezama</w:t>
      </w:r>
    </w:p>
    <w:p w14:paraId="5693F032" w14:textId="77777777" w:rsidR="00FE53FA" w:rsidRDefault="00976ABD">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FE53FA" w14:paraId="24CD2AA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4729C3D"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BE07D1E"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2CC124"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5FA425F" w14:textId="77777777" w:rsidR="00FE53FA" w:rsidRDefault="00976ABD">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CD0E424" w14:textId="77777777" w:rsidR="00FE53FA" w:rsidRDefault="00976ABD">
            <w:pPr>
              <w:keepNext/>
              <w:keepLines/>
              <w:spacing w:after="0" w:line="240" w:lineRule="auto"/>
              <w:jc w:val="center"/>
            </w:pPr>
            <w:r>
              <w:rPr>
                <w:b/>
                <w:sz w:val="18"/>
              </w:rPr>
              <w:t>Indeks (%)</w:t>
            </w:r>
          </w:p>
        </w:tc>
      </w:tr>
      <w:tr w:rsidR="00FE53FA" w14:paraId="6AA0224D" w14:textId="77777777">
        <w:tblPrEx>
          <w:tblCellMar>
            <w:top w:w="0" w:type="dxa"/>
            <w:bottom w:w="0" w:type="dxa"/>
          </w:tblCellMar>
        </w:tblPrEx>
        <w:trPr>
          <w:cantSplit/>
          <w:trHeight w:val="560"/>
        </w:trPr>
        <w:tc>
          <w:tcPr>
            <w:tcW w:w="700" w:type="dxa"/>
            <w:tcMar>
              <w:top w:w="0" w:type="dxa"/>
              <w:bottom w:w="0" w:type="dxa"/>
            </w:tcMar>
            <w:vAlign w:val="center"/>
          </w:tcPr>
          <w:p w14:paraId="6DEACA0B" w14:textId="77777777" w:rsidR="00FE53FA" w:rsidRDefault="00FE53FA">
            <w:pPr>
              <w:keepNext/>
              <w:keepLines/>
              <w:spacing w:after="0" w:line="240" w:lineRule="auto"/>
            </w:pPr>
          </w:p>
        </w:tc>
        <w:tc>
          <w:tcPr>
            <w:tcW w:w="3180" w:type="dxa"/>
            <w:tcMar>
              <w:top w:w="0" w:type="dxa"/>
              <w:bottom w:w="0" w:type="dxa"/>
            </w:tcMar>
            <w:vAlign w:val="center"/>
          </w:tcPr>
          <w:p w14:paraId="635605B9" w14:textId="77777777" w:rsidR="00FE53FA" w:rsidRDefault="00976ABD">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7626829D" w14:textId="77777777" w:rsidR="00FE53FA" w:rsidRDefault="00976ABD">
            <w:pPr>
              <w:keepNext/>
              <w:keepLines/>
              <w:spacing w:after="0" w:line="240" w:lineRule="auto"/>
            </w:pPr>
            <w:r>
              <w:rPr>
                <w:sz w:val="18"/>
              </w:rPr>
              <w:t>V007</w:t>
            </w:r>
          </w:p>
        </w:tc>
        <w:tc>
          <w:tcPr>
            <w:tcW w:w="1860" w:type="dxa"/>
            <w:tcMar>
              <w:top w:w="0" w:type="dxa"/>
              <w:bottom w:w="0" w:type="dxa"/>
            </w:tcMar>
            <w:vAlign w:val="center"/>
          </w:tcPr>
          <w:p w14:paraId="3E6DBD44" w14:textId="77777777" w:rsidR="00FE53FA" w:rsidRDefault="00976ABD">
            <w:pPr>
              <w:keepNext/>
              <w:keepLines/>
              <w:spacing w:after="0" w:line="240" w:lineRule="auto"/>
              <w:jc w:val="right"/>
            </w:pPr>
            <w:r>
              <w:rPr>
                <w:sz w:val="18"/>
              </w:rPr>
              <w:t>0,00</w:t>
            </w:r>
          </w:p>
        </w:tc>
        <w:tc>
          <w:tcPr>
            <w:tcW w:w="700" w:type="dxa"/>
            <w:tcMar>
              <w:top w:w="0" w:type="dxa"/>
              <w:bottom w:w="0" w:type="dxa"/>
            </w:tcMar>
            <w:vAlign w:val="center"/>
          </w:tcPr>
          <w:p w14:paraId="1302B9D7" w14:textId="77777777" w:rsidR="00FE53FA" w:rsidRDefault="00976ABD">
            <w:pPr>
              <w:keepNext/>
              <w:keepLines/>
              <w:spacing w:after="0" w:line="240" w:lineRule="auto"/>
              <w:jc w:val="right"/>
            </w:pPr>
            <w:r>
              <w:rPr>
                <w:sz w:val="18"/>
              </w:rPr>
              <w:t>-</w:t>
            </w:r>
          </w:p>
        </w:tc>
      </w:tr>
    </w:tbl>
    <w:p w14:paraId="1C50E2D4" w14:textId="77777777" w:rsidR="00FE53FA" w:rsidRDefault="00FE53FA">
      <w:pPr>
        <w:spacing w:after="0"/>
      </w:pPr>
    </w:p>
    <w:p w14:paraId="661AA658" w14:textId="77777777" w:rsidR="00FE53FA" w:rsidRDefault="00976ABD">
      <w:pPr>
        <w:spacing w:line="240" w:lineRule="auto"/>
        <w:jc w:val="both"/>
      </w:pPr>
      <w:r>
        <w:t xml:space="preserve">Ugostiteljsko-turistička škola nema dospjelih </w:t>
      </w:r>
      <w:r>
        <w:t>obveza na kraju izvještajnog razdoblja I -IV mjesec 2025. godine.</w:t>
      </w:r>
    </w:p>
    <w:p w14:paraId="276C7B2D" w14:textId="77777777" w:rsidR="00FE53FA" w:rsidRDefault="00FE53FA"/>
    <w:p w14:paraId="07BE34D5" w14:textId="77777777" w:rsidR="00FE53FA" w:rsidRDefault="00976ABD">
      <w:pPr>
        <w:keepNext/>
        <w:spacing w:line="240" w:lineRule="auto"/>
        <w:jc w:val="center"/>
      </w:pPr>
      <w:r>
        <w:rPr>
          <w:sz w:val="28"/>
        </w:rPr>
        <w:lastRenderedPageBreak/>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FE53FA" w14:paraId="7853161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FD8DCC"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8358A59"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095DDC"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629F7C" w14:textId="77777777" w:rsidR="00FE53FA" w:rsidRDefault="00976ABD">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D8D145E" w14:textId="77777777" w:rsidR="00FE53FA" w:rsidRDefault="00976ABD">
            <w:pPr>
              <w:keepNext/>
              <w:keepLines/>
              <w:spacing w:after="0" w:line="240" w:lineRule="auto"/>
              <w:jc w:val="center"/>
            </w:pPr>
            <w:r>
              <w:rPr>
                <w:b/>
                <w:sz w:val="18"/>
              </w:rPr>
              <w:t>Indeks (%)</w:t>
            </w:r>
          </w:p>
        </w:tc>
      </w:tr>
      <w:tr w:rsidR="00FE53FA" w14:paraId="55EB05B1" w14:textId="77777777">
        <w:tblPrEx>
          <w:tblCellMar>
            <w:top w:w="0" w:type="dxa"/>
            <w:bottom w:w="0" w:type="dxa"/>
          </w:tblCellMar>
        </w:tblPrEx>
        <w:trPr>
          <w:cantSplit/>
          <w:trHeight w:val="560"/>
        </w:trPr>
        <w:tc>
          <w:tcPr>
            <w:tcW w:w="700" w:type="dxa"/>
            <w:tcMar>
              <w:top w:w="0" w:type="dxa"/>
              <w:bottom w:w="0" w:type="dxa"/>
            </w:tcMar>
            <w:vAlign w:val="center"/>
          </w:tcPr>
          <w:p w14:paraId="2683562F" w14:textId="77777777" w:rsidR="00FE53FA" w:rsidRDefault="00976ABD">
            <w:pPr>
              <w:keepNext/>
              <w:keepLines/>
              <w:spacing w:after="0" w:line="240" w:lineRule="auto"/>
            </w:pPr>
            <w:r>
              <w:rPr>
                <w:sz w:val="18"/>
              </w:rPr>
              <w:t>23</w:t>
            </w:r>
          </w:p>
        </w:tc>
        <w:tc>
          <w:tcPr>
            <w:tcW w:w="3180" w:type="dxa"/>
            <w:tcMar>
              <w:top w:w="0" w:type="dxa"/>
              <w:bottom w:w="0" w:type="dxa"/>
            </w:tcMar>
            <w:vAlign w:val="center"/>
          </w:tcPr>
          <w:p w14:paraId="178E1D39" w14:textId="77777777" w:rsidR="00FE53FA" w:rsidRDefault="00976ABD">
            <w:pPr>
              <w:keepNext/>
              <w:keepLines/>
              <w:spacing w:after="0" w:line="240" w:lineRule="auto"/>
            </w:pPr>
            <w:r>
              <w:rPr>
                <w:sz w:val="18"/>
              </w:rPr>
              <w:t>Obveze za rashode poslovanja</w:t>
            </w:r>
          </w:p>
        </w:tc>
        <w:tc>
          <w:tcPr>
            <w:tcW w:w="700" w:type="dxa"/>
            <w:tcMar>
              <w:top w:w="0" w:type="dxa"/>
              <w:bottom w:w="0" w:type="dxa"/>
            </w:tcMar>
            <w:vAlign w:val="center"/>
          </w:tcPr>
          <w:p w14:paraId="4203C682" w14:textId="77777777" w:rsidR="00FE53FA" w:rsidRDefault="00976ABD">
            <w:pPr>
              <w:keepNext/>
              <w:keepLines/>
              <w:spacing w:after="0" w:line="240" w:lineRule="auto"/>
            </w:pPr>
            <w:r>
              <w:rPr>
                <w:sz w:val="18"/>
              </w:rPr>
              <w:t>ND23</w:t>
            </w:r>
          </w:p>
        </w:tc>
        <w:tc>
          <w:tcPr>
            <w:tcW w:w="1860" w:type="dxa"/>
            <w:tcMar>
              <w:top w:w="0" w:type="dxa"/>
              <w:bottom w:w="0" w:type="dxa"/>
            </w:tcMar>
            <w:vAlign w:val="center"/>
          </w:tcPr>
          <w:p w14:paraId="25E348E9" w14:textId="77777777" w:rsidR="00FE53FA" w:rsidRDefault="00976ABD">
            <w:pPr>
              <w:keepNext/>
              <w:keepLines/>
              <w:spacing w:after="0" w:line="240" w:lineRule="auto"/>
              <w:jc w:val="right"/>
            </w:pPr>
            <w:r>
              <w:rPr>
                <w:sz w:val="18"/>
              </w:rPr>
              <w:t>228.022,03</w:t>
            </w:r>
          </w:p>
        </w:tc>
        <w:tc>
          <w:tcPr>
            <w:tcW w:w="700" w:type="dxa"/>
            <w:tcMar>
              <w:top w:w="0" w:type="dxa"/>
              <w:bottom w:w="0" w:type="dxa"/>
            </w:tcMar>
            <w:vAlign w:val="center"/>
          </w:tcPr>
          <w:p w14:paraId="1B70EAC3" w14:textId="77777777" w:rsidR="00FE53FA" w:rsidRDefault="00976ABD">
            <w:pPr>
              <w:keepNext/>
              <w:keepLines/>
              <w:spacing w:after="0" w:line="240" w:lineRule="auto"/>
              <w:jc w:val="right"/>
            </w:pPr>
            <w:r>
              <w:rPr>
                <w:sz w:val="18"/>
              </w:rPr>
              <w:t>-</w:t>
            </w:r>
          </w:p>
        </w:tc>
      </w:tr>
    </w:tbl>
    <w:p w14:paraId="344642C0" w14:textId="77777777" w:rsidR="00FE53FA" w:rsidRDefault="00FE53FA">
      <w:pPr>
        <w:spacing w:after="0"/>
      </w:pPr>
    </w:p>
    <w:p w14:paraId="067B855D" w14:textId="77777777" w:rsidR="00FE53FA" w:rsidRDefault="00976ABD">
      <w:pPr>
        <w:spacing w:line="240" w:lineRule="auto"/>
        <w:jc w:val="both"/>
      </w:pPr>
      <w:r>
        <w:t xml:space="preserve">Obveze za rashode poslovanja većim dijelom odnose se na </w:t>
      </w:r>
      <w:r>
        <w:t>materijalne troškove za lipanj koji su plaćeni u mjesecu srpnju.</w:t>
      </w:r>
    </w:p>
    <w:p w14:paraId="4BB7EA72" w14:textId="77777777" w:rsidR="00FE53FA" w:rsidRDefault="00FE53FA"/>
    <w:p w14:paraId="69A9F0F3" w14:textId="77777777" w:rsidR="00FE53FA" w:rsidRDefault="00976ABD">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FE53FA" w14:paraId="47E27DF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78D9CCE" w14:textId="77777777" w:rsidR="00FE53FA" w:rsidRDefault="00976ABD">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EC54E59" w14:textId="77777777" w:rsidR="00FE53FA" w:rsidRDefault="00976ABD">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5B7910" w14:textId="77777777" w:rsidR="00FE53FA" w:rsidRDefault="00976ABD">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400E4B" w14:textId="77777777" w:rsidR="00FE53FA" w:rsidRDefault="00976ABD">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670FE8E" w14:textId="77777777" w:rsidR="00FE53FA" w:rsidRDefault="00976ABD">
            <w:pPr>
              <w:keepNext/>
              <w:keepLines/>
              <w:spacing w:after="0" w:line="240" w:lineRule="auto"/>
              <w:jc w:val="center"/>
            </w:pPr>
            <w:r>
              <w:rPr>
                <w:b/>
                <w:sz w:val="18"/>
              </w:rPr>
              <w:t>Indeks (%)</w:t>
            </w:r>
          </w:p>
        </w:tc>
      </w:tr>
      <w:tr w:rsidR="00FE53FA" w14:paraId="2975AF46" w14:textId="77777777">
        <w:tblPrEx>
          <w:tblCellMar>
            <w:top w:w="0" w:type="dxa"/>
            <w:bottom w:w="0" w:type="dxa"/>
          </w:tblCellMar>
        </w:tblPrEx>
        <w:trPr>
          <w:cantSplit/>
          <w:trHeight w:val="560"/>
        </w:trPr>
        <w:tc>
          <w:tcPr>
            <w:tcW w:w="700" w:type="dxa"/>
            <w:tcMar>
              <w:top w:w="0" w:type="dxa"/>
              <w:bottom w:w="0" w:type="dxa"/>
            </w:tcMar>
            <w:vAlign w:val="center"/>
          </w:tcPr>
          <w:p w14:paraId="57076F54" w14:textId="77777777" w:rsidR="00FE53FA" w:rsidRDefault="00976ABD">
            <w:pPr>
              <w:keepNext/>
              <w:keepLines/>
              <w:spacing w:after="0" w:line="240" w:lineRule="auto"/>
            </w:pPr>
            <w:r>
              <w:rPr>
                <w:sz w:val="18"/>
              </w:rPr>
              <w:t>27</w:t>
            </w:r>
          </w:p>
        </w:tc>
        <w:tc>
          <w:tcPr>
            <w:tcW w:w="3180" w:type="dxa"/>
            <w:tcMar>
              <w:top w:w="0" w:type="dxa"/>
              <w:bottom w:w="0" w:type="dxa"/>
            </w:tcMar>
            <w:vAlign w:val="center"/>
          </w:tcPr>
          <w:p w14:paraId="5346DA5B" w14:textId="77777777" w:rsidR="00FE53FA" w:rsidRDefault="00976ABD">
            <w:pPr>
              <w:keepNext/>
              <w:keepLines/>
              <w:spacing w:after="0" w:line="240" w:lineRule="auto"/>
            </w:pPr>
            <w:r>
              <w:rPr>
                <w:sz w:val="18"/>
              </w:rPr>
              <w:t xml:space="preserve">Obveze za predujmove, depozite, </w:t>
            </w:r>
            <w:proofErr w:type="spellStart"/>
            <w:r>
              <w:rPr>
                <w:sz w:val="18"/>
              </w:rPr>
              <w:t>jamčevne</w:t>
            </w:r>
            <w:proofErr w:type="spellEnd"/>
            <w:r>
              <w:rPr>
                <w:sz w:val="18"/>
              </w:rPr>
              <w:t xml:space="preserve"> </w:t>
            </w:r>
            <w:proofErr w:type="spellStart"/>
            <w:r>
              <w:rPr>
                <w:sz w:val="18"/>
              </w:rPr>
              <w:t>pologe</w:t>
            </w:r>
            <w:proofErr w:type="spellEnd"/>
            <w:r>
              <w:rPr>
                <w:sz w:val="18"/>
              </w:rPr>
              <w:t xml:space="preserve"> i tuđe prihode</w:t>
            </w:r>
          </w:p>
        </w:tc>
        <w:tc>
          <w:tcPr>
            <w:tcW w:w="700" w:type="dxa"/>
            <w:tcMar>
              <w:top w:w="0" w:type="dxa"/>
              <w:bottom w:w="0" w:type="dxa"/>
            </w:tcMar>
            <w:vAlign w:val="center"/>
          </w:tcPr>
          <w:p w14:paraId="6033C407" w14:textId="77777777" w:rsidR="00FE53FA" w:rsidRDefault="00976ABD">
            <w:pPr>
              <w:keepNext/>
              <w:keepLines/>
              <w:spacing w:after="0" w:line="240" w:lineRule="auto"/>
            </w:pPr>
            <w:r>
              <w:rPr>
                <w:sz w:val="18"/>
              </w:rPr>
              <w:t>ND27</w:t>
            </w:r>
          </w:p>
        </w:tc>
        <w:tc>
          <w:tcPr>
            <w:tcW w:w="1860" w:type="dxa"/>
            <w:tcMar>
              <w:top w:w="0" w:type="dxa"/>
              <w:bottom w:w="0" w:type="dxa"/>
            </w:tcMar>
            <w:vAlign w:val="center"/>
          </w:tcPr>
          <w:p w14:paraId="3CF41AC2" w14:textId="77777777" w:rsidR="00FE53FA" w:rsidRDefault="00976ABD">
            <w:pPr>
              <w:keepNext/>
              <w:keepLines/>
              <w:spacing w:after="0" w:line="240" w:lineRule="auto"/>
              <w:jc w:val="right"/>
            </w:pPr>
            <w:r>
              <w:rPr>
                <w:sz w:val="18"/>
              </w:rPr>
              <w:t>17.139,25</w:t>
            </w:r>
          </w:p>
        </w:tc>
        <w:tc>
          <w:tcPr>
            <w:tcW w:w="700" w:type="dxa"/>
            <w:tcMar>
              <w:top w:w="0" w:type="dxa"/>
              <w:bottom w:w="0" w:type="dxa"/>
            </w:tcMar>
            <w:vAlign w:val="center"/>
          </w:tcPr>
          <w:p w14:paraId="7BB352A0" w14:textId="77777777" w:rsidR="00FE53FA" w:rsidRDefault="00976ABD">
            <w:pPr>
              <w:keepNext/>
              <w:keepLines/>
              <w:spacing w:after="0" w:line="240" w:lineRule="auto"/>
              <w:jc w:val="right"/>
            </w:pPr>
            <w:r>
              <w:rPr>
                <w:sz w:val="18"/>
              </w:rPr>
              <w:t>-</w:t>
            </w:r>
          </w:p>
        </w:tc>
      </w:tr>
    </w:tbl>
    <w:p w14:paraId="22D1E0AE" w14:textId="77777777" w:rsidR="00FE53FA" w:rsidRDefault="00FE53FA">
      <w:pPr>
        <w:spacing w:after="0"/>
      </w:pPr>
    </w:p>
    <w:p w14:paraId="68A53B4A" w14:textId="77777777" w:rsidR="00FE53FA" w:rsidRDefault="00976ABD">
      <w:pPr>
        <w:spacing w:line="240" w:lineRule="auto"/>
        <w:jc w:val="both"/>
      </w:pPr>
      <w:r>
        <w:t xml:space="preserve">Unutar ove skupine su obveze za </w:t>
      </w:r>
      <w:r>
        <w:t xml:space="preserve">predujmove, obveze za </w:t>
      </w:r>
      <w:proofErr w:type="spellStart"/>
      <w:r>
        <w:t>jamčevne</w:t>
      </w:r>
      <w:proofErr w:type="spellEnd"/>
      <w:r>
        <w:t xml:space="preserve"> </w:t>
      </w:r>
      <w:proofErr w:type="spellStart"/>
      <w:r>
        <w:t>pologe</w:t>
      </w:r>
      <w:proofErr w:type="spellEnd"/>
      <w:r>
        <w:t>, te obveze za bolovanja na teret HZZO-a.</w:t>
      </w:r>
    </w:p>
    <w:p w14:paraId="25E07C0C" w14:textId="77777777" w:rsidR="00FE53FA" w:rsidRDefault="00FE53FA"/>
    <w:sectPr w:rsidR="00FE5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FA"/>
    <w:rsid w:val="00976ABD"/>
    <w:rsid w:val="00EC2304"/>
    <w:rsid w:val="00FE53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E537"/>
  <w15:docId w15:val="{9AE04730-5C95-4A2A-A04C-ABC5E5E9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Ivancica</dc:creator>
  <cp:lastModifiedBy>Ivančica Blaževac</cp:lastModifiedBy>
  <cp:revision>2</cp:revision>
  <dcterms:created xsi:type="dcterms:W3CDTF">2025-07-10T08:42:00Z</dcterms:created>
  <dcterms:modified xsi:type="dcterms:W3CDTF">2025-07-10T08:42:00Z</dcterms:modified>
</cp:coreProperties>
</file>